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jc w:val="center"/>
      </w:pPr>
      <w:r>
        <w:rPr>
          <w:rFonts w:ascii="宋体" w:hAnsi="宋体" w:eastAsia="宋体"/>
          <w:b/>
          <w:sz w:val="44"/>
        </w:rPr>
        <w:t>智能软件系统课程设计</w:t>
      </w:r>
    </w:p>
    <w:p>
      <w:pPr>
        <w:spacing w:before="1134"/>
        <w:jc w:val="center"/>
      </w:pPr>
      <w:r>
        <w:rPr>
          <w:rFonts w:ascii="宋体" w:hAnsi="宋体" w:eastAsia="宋体"/>
          <w:b/>
          <w:sz w:val="40"/>
        </w:rPr>
        <w:t>文献分析报告</w:t>
      </w:r>
    </w:p>
    <w:p>
      <w:pPr>
        <w:spacing w:before="2268"/>
        <w:jc w:val="center"/>
      </w:pPr>
      <w:r>
        <w:rPr>
          <w:rFonts w:ascii="宋体" w:hAnsi="宋体" w:eastAsia="宋体"/>
          <w:b w:val="0"/>
          <w:sz w:val="30"/>
        </w:rPr>
        <w:t>基于YOLO与大语言模型的眼科图像分类辅助诊断系统</w:t>
      </w:r>
    </w:p>
    <w:p>
      <w:pPr>
        <w:spacing w:before="454"/>
        <w:jc w:val="center"/>
      </w:pPr>
      <w:r>
        <w:rPr>
          <w:rFonts w:ascii="宋体" w:hAnsi="宋体" w:eastAsia="宋体"/>
          <w:b w:val="0"/>
          <w:sz w:val="26"/>
        </w:rPr>
        <w:t>组员：欧阳宸（230722105）  汪晓蕾（231613212）</w:t>
      </w:r>
    </w:p>
    <w:p>
      <w:pPr>
        <w:spacing w:before="454"/>
        <w:jc w:val="center"/>
      </w:pPr>
      <w:r>
        <w:rPr>
          <w:rFonts w:ascii="宋体" w:hAnsi="宋体" w:eastAsia="宋体"/>
          <w:b w:val="0"/>
          <w:sz w:val="26"/>
        </w:rPr>
        <w:t>提交日期：2026年10月</w:t>
      </w:r>
    </w:p>
    <w:p>
      <w:r>
        <w:br w:type="page"/>
      </w:r>
    </w:p>
    <w:p>
      <w:pPr>
        <w:pStyle w:val="Heading1"/>
        <w:keepNext/>
        <w:spacing w:before="200" w:after="100"/>
      </w:pPr>
      <w:r>
        <w:rPr>
          <w:rFonts w:ascii="宋体" w:hAnsi="宋体" w:eastAsia="宋体"/>
          <w:b/>
          <w:sz w:val="32"/>
        </w:rPr>
        <w:t>1 研究背景与意义</w:t>
      </w:r>
    </w:p>
    <w:p>
      <w:pPr>
        <w:spacing w:line="360" w:lineRule="auto" w:after="80"/>
        <w:ind w:firstLine="420"/>
      </w:pPr>
      <w:r>
        <w:rPr>
          <w:rFonts w:ascii="宋体" w:hAnsi="宋体" w:eastAsia="宋体"/>
          <w:b w:val="0"/>
          <w:sz w:val="24"/>
        </w:rPr>
        <w:t>眼底图像能够反映视网膜、视神经和黄斑区域的病变线索。临床筛查通常需要专业设备和人员判读，而基层或远程场景容易受资源限制。本项目以八类眼科图像分类为目标，提供图像导入、分类概率、历史记录和辅助说明，定位为课程设计中的辅助信息系统，不输出临床诊断结论。</w:t>
      </w:r>
    </w:p>
    <w:p>
      <w:pPr>
        <w:spacing w:line="360" w:lineRule="auto" w:after="80"/>
        <w:ind w:firstLine="420"/>
      </w:pPr>
      <w:r>
        <w:rPr>
          <w:rFonts w:ascii="宋体" w:hAnsi="宋体" w:eastAsia="宋体"/>
          <w:b w:val="0"/>
          <w:sz w:val="24"/>
        </w:rPr>
        <w:t>项目的价值在于把分类模型、桌面交互、网页服务与语言模型说明组织在同一可运行流程中。模型只给出训练类别范围内的统计预测，建议模块保留来源标识和风险提示，避免把生成文本误当作诊疗意见。</w:t>
      </w:r>
    </w:p>
    <w:p>
      <w:pPr>
        <w:pStyle w:val="Heading1"/>
        <w:keepNext/>
        <w:spacing w:before="200" w:after="100"/>
      </w:pPr>
      <w:r>
        <w:rPr>
          <w:rFonts w:ascii="宋体" w:hAnsi="宋体" w:eastAsia="宋体"/>
          <w:b/>
          <w:sz w:val="32"/>
        </w:rPr>
        <w:t>2 国内外研究现状</w:t>
      </w:r>
    </w:p>
    <w:p>
      <w:pPr>
        <w:spacing w:line="360" w:lineRule="auto" w:after="80"/>
        <w:ind w:firstLine="420"/>
      </w:pPr>
      <w:r>
        <w:rPr>
          <w:rFonts w:ascii="宋体" w:hAnsi="宋体" w:eastAsia="宋体"/>
          <w:b w:val="0"/>
          <w:sz w:val="24"/>
        </w:rPr>
        <w:t>公开眼底数据集推动了自动筛查研究。ODIR 5K 提供双眼彩色眼底照片及多个疾病标签，为多类别研究提供了基础。深度学习方法已经在糖尿病视网膜病变等任务中显示出较好的筛查能力，但跨设备、类别不均衡、样本独立性和临床外部验证仍是决定结果可信度的关键因素。</w:t>
      </w:r>
    </w:p>
    <w:p>
      <w:pPr>
        <w:spacing w:line="360" w:lineRule="auto" w:after="80"/>
        <w:ind w:firstLine="420"/>
      </w:pPr>
      <w:r>
        <w:rPr>
          <w:rFonts w:ascii="宋体" w:hAnsi="宋体" w:eastAsia="宋体"/>
          <w:b w:val="0"/>
          <w:sz w:val="24"/>
        </w:rPr>
        <w:t>轻量级卷积网络适合有限显存和边缘部署。YOLO 分类模型可复用成熟训练、增强和导出工具链。AKConv 通过可学习采样位置扩展卷积的几何适应性，但其有效性必须由相同数据和独立验证下的消融实验支持，不能仅依据代码中存在模块或目录名称作结论。</w:t>
      </w:r>
    </w:p>
    <w:p>
      <w:pPr>
        <w:spacing w:line="360" w:lineRule="auto" w:after="80"/>
        <w:ind w:firstLine="420"/>
      </w:pPr>
      <w:r>
        <w:rPr>
          <w:rFonts w:ascii="宋体" w:hAnsi="宋体" w:eastAsia="宋体"/>
          <w:b w:val="0"/>
          <w:sz w:val="24"/>
        </w:rPr>
        <w:t>大语言模型可将类别名称、概率和限制条件组织为可读说明，适合辅助交互；其输出会受提示、上下文和服务状态影响，因此应显示来源、限制和失败信息。</w:t>
      </w:r>
    </w:p>
    <w:p>
      <w:pPr>
        <w:spacing w:line="360" w:lineRule="auto" w:after="80"/>
        <w:ind w:firstLine="420"/>
      </w:pPr>
      <w:r>
        <w:rPr>
          <w:rFonts w:ascii="宋体" w:hAnsi="宋体" w:eastAsia="宋体"/>
          <w:b w:val="0"/>
          <w:sz w:val="24"/>
        </w:rPr>
        <w:t>Zhou等人的RETFound研究以未标注视网膜图像的自监督预训练为基础，再适配具体疾病检测任务，说明领域预训练是值得比较的技术路线[10]。本项目尚未训练或评估RETFound，不能将其公开结果与本项目受污染划分上的指标直接排序；它仅作为后续独立实验的候选基准。</w:t>
      </w:r>
    </w:p>
    <w:p>
      <w:pPr>
        <w:pStyle w:val="Heading1"/>
        <w:keepNext/>
        <w:spacing w:before="200" w:after="100"/>
      </w:pPr>
      <w:r>
        <w:rPr>
          <w:rFonts w:ascii="宋体" w:hAnsi="宋体" w:eastAsia="宋体"/>
          <w:b/>
          <w:sz w:val="32"/>
        </w:rPr>
        <w:t>3 方法对比与评述</w:t>
      </w:r>
    </w:p>
    <w:tbl>
      <w:tblPr>
        <w:tblStyle w:val="TableGrid"/>
        <w:tblW w:type="auto" w:w="0"/>
        <w:tblLook w:firstColumn="1" w:firstRow="1" w:lastColumn="0" w:lastRow="0" w:noHBand="0" w:noVBand="1" w:val="04A0"/>
      </w:tblPr>
      <w:tblGrid>
        <w:gridCol w:w="1805"/>
        <w:gridCol w:w="1805"/>
        <w:gridCol w:w="1805"/>
        <w:gridCol w:w="1805"/>
        <w:gridCol w:w="1805"/>
      </w:tblGrid>
      <w:tr>
        <w:trPr>
          <w:tblHeader/>
        </w:trPr>
        <w:tc>
          <w:tcPr>
            <w:tcW w:type="dxa" w:w="1314"/>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方向</w:t>
            </w:r>
          </w:p>
        </w:tc>
        <w:tc>
          <w:tcPr>
            <w:tcW w:type="dxa" w:w="142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代表工作</w:t>
            </w:r>
          </w:p>
        </w:tc>
        <w:tc>
          <w:tcPr>
            <w:tcW w:type="dxa" w:w="1942"/>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优势</w:t>
            </w:r>
          </w:p>
        </w:tc>
        <w:tc>
          <w:tcPr>
            <w:tcW w:type="dxa" w:w="2399"/>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主要局限</w:t>
            </w:r>
          </w:p>
        </w:tc>
        <w:tc>
          <w:tcPr>
            <w:tcW w:type="dxa" w:w="1942"/>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与本项目关系</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眼底数据集</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ODIR 5K</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类别覆盖广，含双眼图像</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多标签与患者级信息需谨慎处理</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作为历史来源线索</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深度学习筛查</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Gulshan 等</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端到端特征学习</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外部泛化依赖独立数据</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采用图像分类范式</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轻量网络</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 分类</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训练和导出工具完整</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类别不均衡会影响结果</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桌面与服务端推理基础</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动态卷积</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AKConv</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可适应不规则局部结构</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增加训练成本，需消融验证</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用于候选结构对比</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语言模型</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DeepSeek</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可生成结构化说明</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可能产生不可靠内容</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仅作辅助说明</w:t>
            </w:r>
          </w:p>
        </w:tc>
      </w:tr>
    </w:tbl>
    <w:p/>
    <w:p>
      <w:pPr>
        <w:pStyle w:val="Heading1"/>
        <w:keepNext/>
        <w:spacing w:before="200" w:after="100"/>
      </w:pPr>
      <w:r>
        <w:rPr>
          <w:rFonts w:ascii="宋体" w:hAnsi="宋体" w:eastAsia="宋体"/>
          <w:b/>
          <w:sz w:val="32"/>
        </w:rPr>
        <w:t>4 项目切入点与边界</w:t>
      </w:r>
    </w:p>
    <w:p>
      <w:pPr>
        <w:spacing w:line="360" w:lineRule="auto" w:after="80"/>
        <w:ind w:firstLine="420"/>
      </w:pPr>
      <w:r>
        <w:rPr>
          <w:rFonts w:ascii="宋体" w:hAnsi="宋体" w:eastAsia="宋体"/>
          <w:b w:val="0"/>
          <w:sz w:val="24"/>
        </w:rPr>
        <w:t>本项目的切入点不是宣称替代医生，而是构建可追溯的图像分类辅助工作流：分类失败不写入成功历史；建议区说明结果来源；网页端和桌面端采用相同八类映射；服务器使用 ONNX Runtime 进行轻量推理。</w:t>
      </w:r>
    </w:p>
    <w:p>
      <w:pPr>
        <w:spacing w:line="360" w:lineRule="auto" w:after="80"/>
        <w:ind w:firstLine="420"/>
      </w:pPr>
      <w:r>
        <w:rPr>
          <w:rFonts w:ascii="宋体" w:hAnsi="宋体" w:eastAsia="宋体"/>
          <w:b w:val="0"/>
          <w:sz w:val="24"/>
        </w:rPr>
        <w:t>数据审计发现训练集与验证集存在 140 个跨集合重复内容哈希。因此，已有验证指标只可作为历史训练记录，不可用于证明独立泛化性能。后续应基于原始元数据进行去重和患者级划分，再开展正式比较。</w:t>
      </w:r>
    </w:p>
    <w:p>
      <w:pPr>
        <w:keepNext/>
        <w:pageBreakBefore/>
        <w:spacing w:before="200" w:after="100"/>
      </w:pPr>
      <w:r>
        <w:rPr>
          <w:rFonts w:ascii="宋体" w:hAnsi="宋体" w:eastAsia="宋体"/>
          <w:b/>
          <w:sz w:val="32"/>
        </w:rPr>
        <w:t>参考文献</w:t>
      </w:r>
    </w:p>
    <w:p>
      <w:pPr>
        <w:spacing w:line="360" w:lineRule="auto" w:after="80"/>
      </w:pPr>
      <w:r>
        <w:rPr>
          <w:rFonts w:ascii="宋体" w:hAnsi="宋体" w:eastAsia="宋体"/>
          <w:b w:val="0"/>
          <w:sz w:val="24"/>
        </w:rPr>
        <w:t>[1] ODIR-2019. Dataset ODIR-5K [EB/OL]. https://odir2019.grand-challenge.org/dataset/, accessed 2026-10-14. 数据集说明页面，不计作核心研究论文。</w:t>
      </w:r>
    </w:p>
    <w:p>
      <w:pPr>
        <w:spacing w:line="360" w:lineRule="auto" w:after="80"/>
      </w:pPr>
      <w:r>
        <w:rPr>
          <w:rFonts w:ascii="宋体" w:hAnsi="宋体" w:eastAsia="宋体"/>
          <w:b w:val="0"/>
          <w:sz w:val="24"/>
        </w:rPr>
        <w:t>[2] D. S. W. Ting et al. Artificial intelligence and deep learning in ophthalmology. British Journal of Ophthalmology, 2019, 103(2): 167-175. doi:10.1136/bjophthalmol-2018-313173.</w:t>
      </w:r>
    </w:p>
    <w:p>
      <w:pPr>
        <w:spacing w:line="360" w:lineRule="auto" w:after="80"/>
      </w:pPr>
      <w:r>
        <w:rPr>
          <w:rFonts w:ascii="宋体" w:hAnsi="宋体" w:eastAsia="宋体"/>
          <w:b w:val="0"/>
          <w:sz w:val="24"/>
        </w:rPr>
        <w:t>[3] V. Gulshan et al. Development and validation of a deep learning algorithm for detection of diabetic retinopathy. JAMA, 2016.</w:t>
      </w:r>
    </w:p>
    <w:p>
      <w:pPr>
        <w:spacing w:line="360" w:lineRule="auto" w:after="80"/>
      </w:pPr>
      <w:r>
        <w:rPr>
          <w:rFonts w:ascii="宋体" w:hAnsi="宋体" w:eastAsia="宋体"/>
          <w:b w:val="0"/>
          <w:sz w:val="24"/>
        </w:rPr>
        <w:t>[4] D. S. W. Ting et al. Development and validation of a deep learning system for diabetic retinopathy and related eye diseases. JAMA, 2017.</w:t>
      </w:r>
    </w:p>
    <w:p>
      <w:pPr>
        <w:spacing w:line="360" w:lineRule="auto" w:after="80"/>
      </w:pPr>
      <w:r>
        <w:rPr>
          <w:rFonts w:ascii="宋体" w:hAnsi="宋体" w:eastAsia="宋体"/>
          <w:b w:val="0"/>
          <w:sz w:val="24"/>
        </w:rPr>
        <w:t>[5] G. Litjens et al. A survey on deep learning in medical image analysis. Medical Image Analysis, 2017.</w:t>
      </w:r>
    </w:p>
    <w:p>
      <w:pPr>
        <w:spacing w:line="360" w:lineRule="auto" w:after="80"/>
      </w:pPr>
      <w:r>
        <w:rPr>
          <w:rFonts w:ascii="宋体" w:hAnsi="宋体" w:eastAsia="宋体"/>
          <w:b w:val="0"/>
          <w:sz w:val="24"/>
        </w:rPr>
        <w:t>[6] X. Zhang et al. AKConv: Convolutional Kernel with Arbitrary Sampled Shapes and Arbitrary Number of Parameters. arXiv:2311.11587v2, 2023. https://arxiv.org/abs/2311.11587v2.</w:t>
      </w:r>
    </w:p>
    <w:p>
      <w:pPr>
        <w:spacing w:line="360" w:lineRule="auto" w:after="80"/>
      </w:pPr>
      <w:r>
        <w:rPr>
          <w:rFonts w:ascii="宋体" w:hAnsi="宋体" w:eastAsia="宋体"/>
          <w:b w:val="0"/>
          <w:sz w:val="24"/>
        </w:rPr>
        <w:t>[7] Ultralytics. YOLO Classification Documentation and Source Code. https://docs.ultralytics.com, accessed 2026-10-13.</w:t>
      </w:r>
    </w:p>
    <w:p>
      <w:pPr>
        <w:spacing w:line="360" w:lineRule="auto" w:after="80"/>
      </w:pPr>
      <w:r>
        <w:rPr>
          <w:rFonts w:ascii="宋体" w:hAnsi="宋体" w:eastAsia="宋体"/>
          <w:b w:val="0"/>
          <w:sz w:val="24"/>
        </w:rPr>
        <w:t>[8] X. Liu et al. A comparison of deep learning performance against health-care professionals in detecting diseases from medical imaging. The Lancet Digital Health, 2019.</w:t>
      </w:r>
    </w:p>
    <w:p>
      <w:pPr>
        <w:spacing w:line="360" w:lineRule="auto" w:after="80"/>
      </w:pPr>
      <w:r>
        <w:rPr>
          <w:rFonts w:ascii="宋体" w:hAnsi="宋体" w:eastAsia="宋体"/>
          <w:b w:val="0"/>
          <w:sz w:val="24"/>
        </w:rPr>
        <w:t>[9] DeepSeek-AI. DeepSeek V3 Technical Report. arXiv:2412.19437, 2024.</w:t>
      </w:r>
    </w:p>
    <w:p>
      <w:pPr>
        <w:spacing w:line="360" w:lineRule="auto" w:after="80"/>
      </w:pPr>
      <w:r>
        <w:rPr>
          <w:rFonts w:ascii="宋体" w:hAnsi="宋体" w:eastAsia="宋体"/>
          <w:b w:val="0"/>
          <w:sz w:val="24"/>
        </w:rPr>
        <w:t>[10] Y. Zhou et al. A foundation model for generalizable disease detection from retinal images. Nature, 2023, 622: 156-163. doi:10.1038/s41586-023-06555-x.</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t>眼科图像分类辅助诊断系统</w:t>
    </w:r>
  </w:p>
  <w:p>
    <w:pPr>
      <w:jc w:val="center"/>
      <w:rPr>
        <w:sz w:val="21"/>
        <w:szCs w:val="21"/>
      </w:rPr>
    </w:pPr>
    <w:r>
      <w:rPr>
        <w:sz w:val="21"/>
        <w:szCs w:val="21"/>
      </w:rPr>
      <w:fldChar w:fldCharType="begin"/>
    </w:r>
    <w:r>
      <w:rPr>
        <w:sz w:val="21"/>
        <w:szCs w:val="21"/>
      </w:rPr>
      <w:instrText xml:space="preserve"> PAGE </w:instrText>
    </w:r>
    <w:r>
      <w:rPr>
        <w:sz w:val="21"/>
        <w:szCs w:val="21"/>
      </w:rPr>
      <w:fldChar w:fldCharType="separate"/>
    </w:r>
    <w:r>
      <w:rPr>
        <w:sz w:val="21"/>
        <w:szCs w:val="21"/>
      </w:rPr>
      <w:t>1</w:t>
    </w:r>
    <w:r>
      <w:rPr>
        <w:sz w:val="21"/>
        <w:szCs w:val="21"/>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b w:val="0"/>
        <w:sz w:val="18"/>
      </w:rPr>
      <w:t>智能软件系统课程设计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color w:val="000000"/>
      <w:sz w:val="28"/>
      <w:szCs w:val="28"/>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宋体" w:cs="Times New Roman"/>
      <w:b/>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