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First author correspondence: lingsenyou@fudan.edu.cn (L.Y.).</w:t>
      </w:r>
    </w:p>
    <w:p>
      <w:r>
        <w:t>ORCID: L.Y. 0000-0003-0794-5907; J.G. 0000-0002-9360-7332. L.S. has no ORCID.</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to a mean absolute error of 1.5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w:t>
      </w:r>
    </w:p>
    <w:p>
      <w:r>
        <w:t xml:space="preserve">A second audit, of the model rather than the literature, produced the result we think matters most. The operator was reproducing its endpoints through a path that cannot occur in an artery: up to 2.4 mm of neointima per side, the hemodynamic axis pinned at its numerical floor for nine of twelve anchors, the mechanical axis exactly inert for every balloon, and lesion stenosis declared but never read, so that a 40% and a 95% stenosis gave identical output. Repairing those four defects and refitting under physiological bounds reveals a frontier rather than a fix. </w:t>
      </w:r>
      <w:r>
        <w:rPr>
          <w:b/>
        </w:rPr>
        <w:t>As the internals are forced toward plausibility, accuracy degrades monotonically — 1.18, 1.51, 2.16 and 3.46 points of mean absolute error — while the number of constants pinned at a bound rises 6, 7, 8, 9 of 11, and at the tightest setting the worst anchor is off by 18 points.</w:t>
      </w:r>
      <w:r>
        <w:t xml:space="preserve"> The mechanical axis is most strongly identified in the middle of that frontier, where removing it costs 0.451 points against an 0.05-point </w:t>
      </w:r>
      <w:r>
        <w:rPr>
          <w:i/>
        </w:rPr>
        <w:t>improvement</w:t>
      </w:r>
      <w:r>
        <w:t xml:space="preserve"> before the repairs — but 91% of that 0.451 is one anchor, so it is a hypothesis rather than a result. A model that reproduces published outcomes only when its internal quantities are impossible has not reproduced them, and we report the frontier rather than a point on it. In a 9,000-procedure simulation with an unobserved frailty term and realistic measurement error, the operator's four-number summary reached AUC 0.817 at n = 100, a level 44 raw features had not reached by n = 800 (0.792). The pan-vascular transfer claim did not survive its own test either way: the operator's cross-bed difference against a linear model given the same continuous bed physiology is +0.012 AUC (-0.003 to +0.024), the sign flips across simulation seeds,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(as fitted, oversizing bites harder — §4.1);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at w_H = 0.26 in that bed, the two-thousand-fold collapse on the haemodynamic axis attenuates to a </w:t>
      </w:r>
      <w:r>
        <w:rPr>
          <w:b/>
        </w:rPr>
        <w:t>7.2-fold</w:t>
      </w:r>
      <w:r>
        <w:t xml:space="preserve"> reduction in the composite (2000^0.26). The 18-fold figure one gets from 1/0.056 is the composite measured against a perfect device on all four axes, not the attenuation of the collapse, and we previously conflated the two in this paragraph.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five-day grid to T = 730 days. Two scalars are read off it:</w:t>
      </w:r>
    </w:p>
    <w:p>
      <w:pPr>
        <w:spacing w:after="20"/>
      </w:pPr>
      <w:r>
        <w:rPr>
          <w:rFonts w:ascii="Consolas" w:hAnsi="Consolas"/>
          <w:sz w:val="19"/>
        </w:rPr>
        <w:t>τ_sc : the time t at which ∫₀^t |dΓ_sc/ds| ds = (1 − 1/e) · ∫₀^T |dΓ_sc/ds| ds</w:t>
      </w:r>
    </w:p>
    <w:p>
      <w:pPr>
        <w:spacing w:after="20"/>
      </w:pPr>
      <w:r>
        <w:rPr>
          <w:rFonts w:ascii="Consolas" w:hAnsi="Consolas"/>
          <w:sz w:val="19"/>
        </w:rPr>
        <w:t>D_T  : (1/T) ∫₀^T (1 − Γ_sc(t)) dt</w:t>
      </w:r>
    </w:p>
    <w:p>
      <w:r>
        <w:t>The coefficient 1 − 1/e = 0.632 is borrowed from the first-order time constant, and it is the only thing about τ_sc that is borrowed: on a total-variation scale it has no independent justification, and it makes τ_sc horizon-dependent. The stent below returns 249 days at T = 365 and 287 days at T = 730, so T has to be quoted with any τ_sc. Defining τ_sc on total variation rather than on a monotone approach to an asymptote is what keeps it defined when the trajectory is non-monotone, which it routinely is: the stent's Γ_sc falls, recovers as the drug suppresses proliferation and the wall adapts, then falls again.</w:t>
      </w:r>
    </w:p>
    <w:p>
      <w:r>
        <w:t>What τ_sc adds is a separation that implantation-day match does not give (Figure 1b). In the same coronary lesion a paclitaxel-coated balloon has τ_sc = 128 days against 287 for an ultrathin-strut drug-eluting stent — the balloon's fate is largely settled in the first four months, the stent's is not — while their implantation-day match differs by only 0.10 (Γ_sc(0) 0.719 against 0.820). The two devices are distinguishable at implantation; the claim is only that the gap there is small next to the difference in how fast each arrives.</w:t>
      </w:r>
    </w:p>
    <w:p>
      <w:r>
        <w:t>Neither direction of τ_sc is claimed to be the better property, and τ_sc does not enter the hazard. A long τ_sc means the match is still moving late, which may be late lumen loss or may be a scaffold slowly restoring wall compliance; the operator does not distinguish them. A device that worsens and then recovers accumulates large total variation with no net change, so τ_sc conflates volatility with adaptation. Whether τ_sc carries any information beyond Γ_sc(0) is untested — falsification item 2. And because Γ_H sits at its numerical clip for six of the twelve anchors (§4.2), τ_sc in those cases partly reports when a clip was reached rather than device–vessel physics.</w:t>
      </w:r>
    </w:p>
    <w:p>
      <w:pPr>
        <w:pStyle w:val="Heading2"/>
      </w:pPr>
      <w:r>
        <w:t>2.4 Hazard link</w:t>
      </w:r>
    </w:p>
    <w:p>
      <w:pPr>
        <w:spacing w:after="20"/>
      </w:pPr>
      <w:r>
        <w:rPr>
          <w:rFonts w:ascii="Consolas" w:hAnsi="Consolas"/>
          <w:sz w:val="19"/>
        </w:rPr>
        <w:t>λ(t) = λ₀(bed) · exp(β · (Γ*_bed − Γ_sc(t)))</w:t>
      </w:r>
    </w:p>
    <w:p>
      <w:r>
        <w:t xml:space="preserve">λ₀ is the published 12-month clinically driven TLR of the bed's </w:t>
      </w:r>
      <w:r>
        <w:rPr>
          <w:b/>
        </w:rPr>
        <w:t>reference trial arm</w:t>
      </w:r>
      <w:r>
        <w:t>. It is not the rate of best practice: in the below-the-knee bed it is the drug-eluting balloon arm of a trial that missed its primary endpoints and whose device was withdrawn from all markets in 2013 (§6). It is the best-adjudicated 12-month rate available in that bed, which is a weaker claim and the one we make.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the reference arms do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1.51 percentage points</w:t>
      </w:r>
      <w:r>
        <w:t xml:space="preserve"> over the twelve retained anchors, worst residual 5.87 points on COR-POBA (Figure 2). </w:t>
      </w:r>
      <w:r>
        <w:rPr>
          <w:b/>
        </w:rPr>
        <w:t>Most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Jensen gap whatever the eleven constants are. Their mean residual is 0.38 points — though not uniformly: BTK-DCB is off by 1.84 points, a fifth of its own λ₀, so the gap is not always negligible even where the fit is an identity. On the six anchors that are genuinely informative — COR-BRS-plla, COR-BMS, COR-POBA, SFA-POBA, SFA-nitinol, BTK-POBA — the mean absolute error is </w:t>
      </w:r>
      <w:r>
        <w:rPr>
          <w:b/>
        </w:rPr>
        <w:t>2.63 percentage points</w:t>
      </w:r>
      <w:r>
        <w:t>, and that is the number a reader should hold us to. The two subsets average to the headline exactly: (0.38 + 2.63)/2 = 1.51.</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1.51 points is therefore not evidence that the operator is right.</w:t>
      </w:r>
      <w:r>
        <w:t xml:space="preserve"> With more free parameters than informative constraints, a low residual is what one should expect, and we report it as a consistency check rather than as performance.</w:t>
      </w:r>
    </w:p>
    <w:p>
      <w:pPr>
        <w:pStyle w:val="Heading2"/>
      </w:pPr>
      <w:r>
        <w:t>4.1 A second audit, of the model</w:t>
      </w:r>
    </w:p>
    <w:p>
      <w:r>
        <w:t>A reviewer then did to the operator what §3 did to the literature, and it did not survive either. Four defects, each reproduced by running the released code:</w:t>
      </w:r>
    </w:p>
    <w:p>
      <w:pPr>
        <w:pStyle w:val="ListBullet"/>
      </w:pPr>
      <w:r>
        <w:rPr>
          <w:b/>
        </w:rPr>
        <w:t>The neointima was not physiological.</w:t>
      </w:r>
      <w:r>
        <w:t xml:space="preserve"> The fitted asymptote implied 0.5 to 2.4 mm per side — 528 µm under the contemporary drug-eluting stent anchor whose observed CD-TLR is 2.0%, against roughly 100 µm measured by optical coherence tomography.</w:t>
      </w:r>
    </w:p>
    <w:p>
      <w:pPr>
        <w:pStyle w:val="ListBullet"/>
      </w:pPr>
      <w:r>
        <w:rPr>
          <w:b/>
        </w:rPr>
        <w:t>Γ_H was reporting a clip, not physics.</w:t>
      </w:r>
      <w:r>
        <w:t xml:space="preserve"> Nine of twelve anchors sat at the lumen floor for most of year one, on the axis that was doing the explaining.</w:t>
      </w:r>
    </w:p>
    <w:p>
      <w:pPr>
        <w:pStyle w:val="ListBullet"/>
      </w:pPr>
      <w:r>
        <w:rPr>
          <w:b/>
        </w:rPr>
        <w:t>The mechanical axis was inert for balloons.</w:t>
      </w:r>
      <w:r>
        <w:t xml:space="preserve"> Γ_M was exactly 1.0000, at every timepoint and every sizing, for every balloon anchor, because overstretch strain was computed after recoil and recoil always put the balloon below the reference diameter. The axis meant to carry dissection could not charge the devices that cause it, and in the femoropopliteal bed that handed 36% of the weight to a balloon for nothing.</w:t>
      </w:r>
    </w:p>
    <w:p>
      <w:pPr>
        <w:pStyle w:val="ListBullet"/>
      </w:pPr>
      <w:r>
        <w:rPr>
          <w:b/>
        </w:rPr>
        <w:t>Lesion stenosis was declared and never read.</w:t>
      </w:r>
      <w:r>
        <w:t xml:space="preserve"> A 40% and a 95% stenosis produced bit-identical output; recoil was applied to the balloon's diameter rather than to the acute gain, which is what recoils; and a 1:1 balloon delivered an injury index of exactly zero, deleting the mechanism of post-angioplasty restenosis.</w:t>
      </w:r>
    </w:p>
    <w:p>
      <w:r>
        <w:t xml:space="preserve">We repaired all four — stenosis now sets the pre-procedure lumen and drives both recoil and barotrauma, overstretch is taken at inflation, and the neointima carries a ceiling at a fixed fraction of the deployed radius — and refitted. The repairs by themselves </w:t>
      </w:r>
      <w:r>
        <w:rPr>
          <w:i/>
        </w:rPr>
        <w:t>improved</w:t>
      </w:r>
      <w:r>
        <w:t xml:space="preserve"> the unconstrained fit, from 1.37 to 1.18 points: getting the physics right made the model fit better, not worse.</w:t>
      </w:r>
    </w:p>
    <w:p>
      <w:pPr>
        <w:pStyle w:val="Heading2"/>
      </w:pPr>
      <w:r>
        <w:t>4.2 The frontier</w:t>
      </w:r>
    </w:p>
    <w:p>
      <w:r>
        <w:t>Forcing the internals toward plausibility is then a trade-off, and we measured it by refitting all eleven constants from scratch at four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bounds on the internals</w:t>
            </w:r>
          </w:p>
        </w:tc>
        <w:tc>
          <w:tcPr>
            <w:tcW w:type="dxa" w:w="1234"/>
          </w:tcPr>
          <w:p>
            <w:r>
              <w:rPr>
                <w:b/>
                <w:sz w:val="18"/>
              </w:rPr>
            </w:r>
            <w:r>
              <w:rPr>
                <w:b/>
                <w:sz w:val="18"/>
              </w:rPr>
              <w:t>MAE, pts</w:t>
            </w:r>
          </w:p>
        </w:tc>
        <w:tc>
          <w:tcPr>
            <w:tcW w:type="dxa" w:w="1234"/>
          </w:tcPr>
          <w:p>
            <w:r>
              <w:rPr>
                <w:b/>
                <w:sz w:val="18"/>
              </w:rPr>
            </w:r>
            <w:r>
              <w:rPr>
                <w:b/>
                <w:sz w:val="18"/>
              </w:rPr>
              <w:t>worst</w:t>
            </w:r>
          </w:p>
        </w:tc>
        <w:tc>
          <w:tcPr>
            <w:tcW w:type="dxa" w:w="1234"/>
          </w:tcPr>
          <w:p>
            <w:r>
              <w:rPr>
                <w:b/>
                <w:sz w:val="18"/>
              </w:rPr>
            </w:r>
            <w:r>
              <w:rPr>
                <w:b/>
                <w:sz w:val="18"/>
              </w:rPr>
              <w:t>neointima, µm</w:t>
            </w:r>
          </w:p>
        </w:tc>
        <w:tc>
          <w:tcPr>
            <w:tcW w:type="dxa" w:w="1234"/>
          </w:tcPr>
          <w:p>
            <w:r>
              <w:rPr>
                <w:b/>
                <w:sz w:val="18"/>
              </w:rPr>
            </w:r>
            <w:r>
              <w:rPr>
                <w:b/>
                <w:sz w:val="18"/>
              </w:rPr>
              <w:t>Γ_H on floor</w:t>
            </w:r>
          </w:p>
        </w:tc>
        <w:tc>
          <w:tcPr>
            <w:tcW w:type="dxa" w:w="1234"/>
          </w:tcPr>
          <w:p>
            <w:r>
              <w:rPr>
                <w:b/>
                <w:sz w:val="18"/>
              </w:rPr>
            </w:r>
            <w:r>
              <w:rPr>
                <w:b/>
                <w:sz w:val="18"/>
              </w:rPr>
              <w:t>constants at a bound</w:t>
            </w:r>
          </w:p>
        </w:tc>
        <w:tc>
          <w:tcPr>
            <w:tcW w:type="dxa" w:w="1234"/>
          </w:tcPr>
          <w:p>
            <w:r>
              <w:rPr>
                <w:b/>
                <w:sz w:val="18"/>
              </w:rPr>
            </w:r>
            <w:r>
              <w:rPr>
                <w:b/>
                <w:sz w:val="18"/>
              </w:rPr>
              <w:t>cost of removing Γ_M</w:t>
            </w:r>
          </w:p>
        </w:tc>
      </w:tr>
      <w:tr>
        <w:tc>
          <w:tcPr>
            <w:tcW w:type="dxa" w:w="1234"/>
          </w:tcPr>
          <w:p>
            <w:r>
              <w:rPr>
                <w:sz w:val="18"/>
              </w:rPr>
            </w:r>
            <w:r>
              <w:rPr>
                <w:sz w:val="18"/>
              </w:rPr>
              <w:t>unbounded</w:t>
            </w:r>
          </w:p>
        </w:tc>
        <w:tc>
          <w:tcPr>
            <w:tcW w:type="dxa" w:w="1234"/>
          </w:tcPr>
          <w:p>
            <w:r>
              <w:rPr>
                <w:sz w:val="18"/>
              </w:rPr>
            </w:r>
            <w:r>
              <w:rPr>
                <w:sz w:val="18"/>
              </w:rPr>
              <w:t>1.18</w:t>
            </w:r>
          </w:p>
        </w:tc>
        <w:tc>
          <w:tcPr>
            <w:tcW w:type="dxa" w:w="1234"/>
          </w:tcPr>
          <w:p>
            <w:r>
              <w:rPr>
                <w:sz w:val="18"/>
              </w:rPr>
            </w:r>
            <w:r>
              <w:rPr>
                <w:sz w:val="18"/>
              </w:rPr>
              <w:t>5.09</w:t>
            </w:r>
          </w:p>
        </w:tc>
        <w:tc>
          <w:tcPr>
            <w:tcW w:type="dxa" w:w="1234"/>
          </w:tcPr>
          <w:p>
            <w:r>
              <w:rPr>
                <w:sz w:val="18"/>
              </w:rPr>
            </w:r>
            <w:r>
              <w:rPr>
                <w:sz w:val="18"/>
              </w:rPr>
              <w:t>1014</w:t>
            </w:r>
          </w:p>
        </w:tc>
        <w:tc>
          <w:tcPr>
            <w:tcW w:type="dxa" w:w="1234"/>
          </w:tcPr>
          <w:p>
            <w:r>
              <w:rPr>
                <w:sz w:val="18"/>
              </w:rPr>
            </w:r>
            <w:r>
              <w:rPr>
                <w:sz w:val="18"/>
              </w:rPr>
              <w:t>5/12</w:t>
            </w:r>
          </w:p>
        </w:tc>
        <w:tc>
          <w:tcPr>
            <w:tcW w:type="dxa" w:w="1234"/>
          </w:tcPr>
          <w:p>
            <w:r>
              <w:rPr>
                <w:sz w:val="18"/>
              </w:rPr>
            </w:r>
            <w:r>
              <w:rPr>
                <w:sz w:val="18"/>
              </w:rPr>
              <w:t>6/11</w:t>
            </w:r>
          </w:p>
        </w:tc>
        <w:tc>
          <w:tcPr>
            <w:tcW w:type="dxa" w:w="1234"/>
          </w:tcPr>
          <w:p>
            <w:r>
              <w:rPr>
                <w:sz w:val="18"/>
              </w:rPr>
            </w:r>
            <w:r>
              <w:rPr>
                <w:sz w:val="18"/>
              </w:rPr>
              <w:t>+0.07</w:t>
            </w:r>
          </w:p>
        </w:tc>
      </w:tr>
      <w:tr>
        <w:tc>
          <w:tcPr>
            <w:tcW w:type="dxa" w:w="1234"/>
          </w:tcPr>
          <w:p>
            <w:r>
              <w:rPr>
                <w:sz w:val="18"/>
              </w:rPr>
            </w:r>
            <w:r>
              <w:rPr>
                <w:sz w:val="18"/>
              </w:rPr>
              <w:t>neointima bounded</w:t>
            </w:r>
          </w:p>
        </w:tc>
        <w:tc>
          <w:tcPr>
            <w:tcW w:type="dxa" w:w="1234"/>
          </w:tcPr>
          <w:p>
            <w:r>
              <w:rPr>
                <w:sz w:val="18"/>
              </w:rPr>
            </w:r>
            <w:r>
              <w:rPr>
                <w:sz w:val="18"/>
              </w:rPr>
              <w:t>1.51</w:t>
            </w:r>
          </w:p>
        </w:tc>
        <w:tc>
          <w:tcPr>
            <w:tcW w:type="dxa" w:w="1234"/>
          </w:tcPr>
          <w:p>
            <w:r>
              <w:rPr>
                <w:sz w:val="18"/>
              </w:rPr>
            </w:r>
            <w:r>
              <w:rPr>
                <w:sz w:val="18"/>
              </w:rPr>
              <w:t>5.87</w:t>
            </w:r>
          </w:p>
        </w:tc>
        <w:tc>
          <w:tcPr>
            <w:tcW w:type="dxa" w:w="1234"/>
          </w:tcPr>
          <w:p>
            <w:r>
              <w:rPr>
                <w:sz w:val="18"/>
              </w:rPr>
            </w:r>
            <w:r>
              <w:rPr>
                <w:sz w:val="18"/>
              </w:rPr>
              <w:t>819</w:t>
            </w:r>
          </w:p>
        </w:tc>
        <w:tc>
          <w:tcPr>
            <w:tcW w:type="dxa" w:w="1234"/>
          </w:tcPr>
          <w:p>
            <w:r>
              <w:rPr>
                <w:sz w:val="18"/>
              </w:rPr>
            </w:r>
            <w:r>
              <w:rPr>
                <w:sz w:val="18"/>
              </w:rPr>
              <w:t>6/12</w:t>
            </w:r>
          </w:p>
        </w:tc>
        <w:tc>
          <w:tcPr>
            <w:tcW w:type="dxa" w:w="1234"/>
          </w:tcPr>
          <w:p>
            <w:r>
              <w:rPr>
                <w:sz w:val="18"/>
              </w:rPr>
            </w:r>
            <w:r>
              <w:rPr>
                <w:sz w:val="18"/>
              </w:rPr>
              <w:t>7/11</w:t>
            </w:r>
          </w:p>
        </w:tc>
        <w:tc>
          <w:tcPr>
            <w:tcW w:type="dxa" w:w="1234"/>
          </w:tcPr>
          <w:p>
            <w:r>
              <w:rPr>
                <w:sz w:val="18"/>
              </w:rPr>
            </w:r>
            <w:r>
              <w:rPr>
                <w:sz w:val="18"/>
              </w:rPr>
              <w:t>+0.45</w:t>
            </w:r>
          </w:p>
        </w:tc>
      </w:tr>
      <w:tr>
        <w:tc>
          <w:tcPr>
            <w:tcW w:type="dxa" w:w="1234"/>
          </w:tcPr>
          <w:p>
            <w:r>
              <w:rPr>
                <w:sz w:val="18"/>
              </w:rPr>
            </w:r>
            <w:r>
              <w:rPr>
                <w:sz w:val="18"/>
              </w:rPr>
              <w:t>+ lumen kernel bounded</w:t>
            </w:r>
          </w:p>
        </w:tc>
        <w:tc>
          <w:tcPr>
            <w:tcW w:type="dxa" w:w="1234"/>
          </w:tcPr>
          <w:p>
            <w:r>
              <w:rPr>
                <w:sz w:val="18"/>
              </w:rPr>
            </w:r>
            <w:r>
              <w:rPr>
                <w:sz w:val="18"/>
              </w:rPr>
              <w:t>2.16</w:t>
            </w:r>
          </w:p>
        </w:tc>
        <w:tc>
          <w:tcPr>
            <w:tcW w:type="dxa" w:w="1234"/>
          </w:tcPr>
          <w:p>
            <w:r>
              <w:rPr>
                <w:sz w:val="18"/>
              </w:rPr>
            </w:r>
            <w:r>
              <w:rPr>
                <w:sz w:val="18"/>
              </w:rPr>
              <w:t>11.25</w:t>
            </w:r>
          </w:p>
        </w:tc>
        <w:tc>
          <w:tcPr>
            <w:tcW w:type="dxa" w:w="1234"/>
          </w:tcPr>
          <w:p>
            <w:r>
              <w:rPr>
                <w:sz w:val="18"/>
              </w:rPr>
            </w:r>
            <w:r>
              <w:rPr>
                <w:sz w:val="18"/>
              </w:rPr>
              <w:t>819</w:t>
            </w:r>
          </w:p>
        </w:tc>
        <w:tc>
          <w:tcPr>
            <w:tcW w:type="dxa" w:w="1234"/>
          </w:tcPr>
          <w:p>
            <w:r>
              <w:rPr>
                <w:sz w:val="18"/>
              </w:rPr>
            </w:r>
            <w:r>
              <w:rPr>
                <w:sz w:val="18"/>
              </w:rPr>
              <w:t>4/12</w:t>
            </w:r>
          </w:p>
        </w:tc>
        <w:tc>
          <w:tcPr>
            <w:tcW w:type="dxa" w:w="1234"/>
          </w:tcPr>
          <w:p>
            <w:r>
              <w:rPr>
                <w:sz w:val="18"/>
              </w:rPr>
            </w:r>
            <w:r>
              <w:rPr>
                <w:sz w:val="18"/>
              </w:rPr>
              <w:t>8/11</w:t>
            </w:r>
          </w:p>
        </w:tc>
        <w:tc>
          <w:tcPr>
            <w:tcW w:type="dxa" w:w="1234"/>
          </w:tcPr>
          <w:p>
            <w:r>
              <w:rPr>
                <w:sz w:val="18"/>
              </w:rPr>
            </w:r>
            <w:r>
              <w:rPr>
                <w:sz w:val="18"/>
              </w:rPr>
              <w:t>-0.05</w:t>
            </w:r>
          </w:p>
        </w:tc>
      </w:tr>
      <w:tr>
        <w:tc>
          <w:tcPr>
            <w:tcW w:type="dxa" w:w="1234"/>
          </w:tcPr>
          <w:p>
            <w:r>
              <w:rPr>
                <w:sz w:val="18"/>
              </w:rPr>
            </w:r>
            <w:r>
              <w:rPr>
                <w:sz w:val="18"/>
              </w:rPr>
              <w:t>both tight</w:t>
            </w:r>
          </w:p>
        </w:tc>
        <w:tc>
          <w:tcPr>
            <w:tcW w:type="dxa" w:w="1234"/>
          </w:tcPr>
          <w:p>
            <w:r>
              <w:rPr>
                <w:sz w:val="18"/>
              </w:rPr>
            </w:r>
            <w:r>
              <w:rPr>
                <w:sz w:val="18"/>
              </w:rPr>
              <w:t>3.46</w:t>
            </w:r>
          </w:p>
        </w:tc>
        <w:tc>
          <w:tcPr>
            <w:tcW w:type="dxa" w:w="1234"/>
          </w:tcPr>
          <w:p>
            <w:r>
              <w:rPr>
                <w:sz w:val="18"/>
              </w:rPr>
            </w:r>
            <w:r>
              <w:rPr>
                <w:sz w:val="18"/>
              </w:rPr>
              <w:t>18.00</w:t>
            </w:r>
          </w:p>
        </w:tc>
        <w:tc>
          <w:tcPr>
            <w:tcW w:type="dxa" w:w="1234"/>
          </w:tcPr>
          <w:p>
            <w:r>
              <w:rPr>
                <w:sz w:val="18"/>
              </w:rPr>
            </w:r>
            <w:r>
              <w:rPr>
                <w:sz w:val="18"/>
              </w:rPr>
              <w:t>601</w:t>
            </w:r>
          </w:p>
        </w:tc>
        <w:tc>
          <w:tcPr>
            <w:tcW w:type="dxa" w:w="1234"/>
          </w:tcPr>
          <w:p>
            <w:r>
              <w:rPr>
                <w:sz w:val="18"/>
              </w:rPr>
            </w:r>
            <w:r>
              <w:rPr>
                <w:sz w:val="18"/>
              </w:rPr>
              <w:t>1/12</w:t>
            </w:r>
          </w:p>
        </w:tc>
        <w:tc>
          <w:tcPr>
            <w:tcW w:type="dxa" w:w="1234"/>
          </w:tcPr>
          <w:p>
            <w:r>
              <w:rPr>
                <w:sz w:val="18"/>
              </w:rPr>
            </w:r>
            <w:r>
              <w:rPr>
                <w:sz w:val="18"/>
              </w:rPr>
              <w:t>9/11</w:t>
            </w:r>
          </w:p>
        </w:tc>
        <w:tc>
          <w:tcPr>
            <w:tcW w:type="dxa" w:w="1234"/>
          </w:tcPr>
          <w:p>
            <w:r>
              <w:rPr>
                <w:sz w:val="18"/>
              </w:rPr>
            </w:r>
            <w:r>
              <w:rPr>
                <w:sz w:val="18"/>
              </w:rPr>
              <w:t>-0.04</w:t>
            </w:r>
          </w:p>
        </w:tc>
      </w:tr>
    </w:tbl>
    <w:p/>
    <w:p>
      <w:r>
        <w:t xml:space="preserve">The neointima column is the worst </w:t>
      </w:r>
      <w:r>
        <w:rPr>
          <w:i/>
        </w:rPr>
        <w:t>thickness</w:t>
      </w:r>
      <w:r>
        <w:t xml:space="preserve"> across the twelve anchors, and it is not the worst </w:t>
      </w:r>
      <w:r>
        <w:rPr>
          <w:i/>
        </w:rPr>
        <w:t>problem</w:t>
      </w:r>
      <w:r>
        <w:t xml:space="preserve">. In the shipped row the 819 µm belongs to SFA-nitinol, a bare self-expanding stent in a 5.40 mm artery, which it leaves at 28% diameter stenosis at twelve months — thick, but not absurd for bare nitinol in that bed. The implausible anchor is BTK-POBA: 578 µm per side in a 2.75 mm vessel, </w:t>
      </w:r>
      <w:r>
        <w:rPr>
          <w:b/>
        </w:rPr>
        <w:t>70% diameter stenosis against an observed CD-TLR of 13%</w:t>
      </w:r>
      <w:r>
        <w:t>. Comparing the 819 µm against the ~100 µm an OCT study reports for a contemporary drug-eluting stent is not the right comparison either — the contemporary DES anchor here sits at 253 µm. Falsification item 6 is the check that settles all of this, and it is a measurement we have not made.</w:t>
      </w:r>
    </w:p>
    <w:p>
      <w:r>
        <w:rPr>
          <w:b/>
        </w:rPr>
        <w:t>Accuracy degrades monotonically as the internals are forced toward plausibility, and degeneracy rises with it.</w:t>
      </w:r>
      <w:r>
        <w:t xml:space="preserve"> At the tightest setting only one anchor is left on the Γ_H floor and the worst neointima is 601 µm, but the mean error is 3.46 points, the worst anchor is off by 18, and nine of eleven constants are pinned at a bound. A model that fits only when its internal quantities are impossible has not fitted, and this is the quantitative statement of that.</w:t>
      </w:r>
    </w:p>
    <w:p>
      <w:r>
        <w:t xml:space="preserve">The one encouraging line is the second, where </w:t>
      </w:r>
      <w:r>
        <w:rPr>
          <w:b/>
        </w:rPr>
        <w:t>the mechanical axis is identified</w:t>
      </w:r>
      <w:r>
        <w:t xml:space="preserve">: forcing Γ_M ≡ 1 at the fitted constants costs 0.451 points, where before the repairs it </w:t>
      </w:r>
      <w:r>
        <w:rPr>
          <w:i/>
        </w:rPr>
        <w:t>improved</w:t>
      </w:r>
      <w:r>
        <w:t xml:space="preserve"> the fit by 0.05. The first row is also positive, by 0.073, so the axis is not identified only in the second row — it is identified far more strongly there. The two tighter rows are negative again (−0.046 and −0.038): deleting the mechanical axis helps.</w:t>
      </w:r>
    </w:p>
    <w:p>
      <w:r>
        <w:rPr>
          <w:b/>
        </w:rPr>
        <w:t>That 0.451 is one anchor.</w:t>
      </w:r>
      <w:r>
        <w:t xml:space="preserve"> Decomposing it: SFA-nitinol contributes 0.412 points, 91.4% of the total; ILIAC-stent 0.015; CAR-stent 0.004; COR-BMS is </w:t>
      </w:r>
      <w:r>
        <w:rPr>
          <w:i/>
        </w:rPr>
        <w:t>negative</w:t>
      </w:r>
      <w:r>
        <w:t xml:space="preserve"> at −0.003. All five balloon anchors together contribute 0.022 points, 4.8%, and four of the five contribute exactly zero — only COR-POBA moves at all. So while repairing the balloon overstretch term is what made the axis identifiable, by refitting all eleven constants, the evidence that the axis is real is carried almost entirely by a single self-expanding nitinol stent in the femoropopliteal artery — the bed where w_M is largest — and not by the balloons the repair was aimed at. An earlier draft of this paragraph said the balloon fix "is what did it" and implied the balloons now carry the penalty; they do not. </w:t>
      </w:r>
      <w:r>
        <w:rPr>
          <w:b/>
        </w:rPr>
        <w:t>The single positive structural result in this paper rests on one anchor and should be treated as a hypothesis, not a finding.</w:t>
      </w:r>
      <w:r>
        <w:t xml:space="preserve"> We ship that setting, and we do not claim the frontier has an optimum.</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 xml:space="preserve">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 </w:t>
      </w:r>
      <w:r>
        <w:rPr>
          <w:b/>
        </w:rPr>
        <w:t>The bed's log λ₀ is among the six continuous parameters given to (A′) and (A″) as well</w:t>
      </w:r>
      <w:r>
        <w:t>, so (B) is not handed the bed's base rate as a private feature; the comparison is between four physics summaries and 44 raw features, not between having λ₀ and not.</w:t>
      </w:r>
    </w:p>
    <w:p>
      <w:pPr>
        <w:pStyle w:val="Heading2"/>
      </w:pPr>
      <w:r>
        <w:t>5.3 Results</w:t>
      </w:r>
    </w:p>
    <w:p>
      <w:r>
        <w:rPr>
          <w:b/>
        </w:rPr>
        <w:t>Sample efficiency (Figure 3a).</w:t>
      </w:r>
      <w:r>
        <w:t xml:space="preserve"> Within the coronary bed the operator's four numbers reached AUC 0.817 at n = 100 and were flat thereafter (0.818 at n = 800). Raw features under a linear model started at 0.687 and had still not caught up by n = 800 (0.792); under trees they were lower and unstable (0.639 at n = 100, 0.729 at n = 800). The operator's in-bed discrimination is also the highest of the four arms, 0.881 against 0.835. For single-centre cohorts, where the number of procedures is the binding constraint, this is the operator's only demonstrated practical advantage — and it is the one that survived both the recalibration and the repair of the model, in a sharper form each time.</w:t>
      </w:r>
    </w:p>
    <w:p>
      <w:r>
        <w:t>It is also the one most exposed to the circularity of §5.1: the four numbers are close to sufficient statistics of the simulator that generated the labels, so their efficiency here is partly arithmetic. The claim that survives is comparative and conditional — a physics-parameterised summary needs fewer procedures than raw features to reach its ceiling — and it is item 4 of §7 precisely because simulation cannot settle it.</w:t>
      </w:r>
    </w:p>
    <w:p>
      <w:r>
        <w:rPr>
          <w:b/>
        </w:rPr>
        <w:t>Cross-bed transfer: the experiment cannot answer the question (Figure 3b).</w:t>
      </w:r>
      <w:r>
        <w:t xml:space="preserve"> Training on coronary and carotid and testing on femoropopliteal, below-the-knee, renal and iliac, the operator reached AUC 0.639 against 0.627 for raw features plus continuous bed physiology under a linear model, log λ₀ included — a difference of +0.012, with a case-level bootstrap interval of (-0.003, +0.024).</w:t>
      </w:r>
    </w:p>
    <w:p>
      <w:r>
        <w:rPr>
          <w:b/>
        </w:rPr>
        <w:t>Neither that interval nor the earlier one should be read as an answer.</w:t>
      </w:r>
      <w:r>
        <w:t xml:space="preserve"> Before the model was repaired the same comparison gave −0.024 with an interval that excluded zero, and we were about to report the operator as significantly worse. Repeating the whole experiment at five simulation seeds gave differences of −0.024, +0.024, +0.037, +0.003 and −0.005: the sign flips, the mean is +0.007, and the case-level interval excluded zero in three of five seeds,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0.284, far worse than predicting the test beds' own base rate, which is 0.167 (their event rate is 0.211). Two different corrections get called "recalibration" and they are not interchangeable, so we report both. Shifting the intercept only — keeping the model's log-odds slope — leaves the operator at 0.189, raw features plus bed physiology at 0.192 and trees at 0.209: </w:t>
      </w:r>
      <w:r>
        <w:rPr>
          <w:b/>
        </w:rPr>
        <w:t>every arm still worse than the base rate.</w:t>
      </w:r>
      <w:r>
        <w:t xml:space="preserve"> Refitting the slope as well brings every arm just past it — 0.161 for the operator, 0.162 and 0.164 for the comparators, a 2 to 3% improvement on a constant prediction — and the slope the operator needs is 0.31, so its log-odds are roughly three times too steep across beds. Both corrections use the test labels and are therefore ceilings, not out-of-sample scores; beating a base rate by 3% with a ceiling estimate is not transfer.</w:t>
      </w:r>
    </w:p>
    <w:p>
      <w:r>
        <w:t xml:space="preserve">The distinction matters for anyone who wants to use the operator in a new bed. Its </w:t>
      </w:r>
      <w:r>
        <w:rPr>
          <w:i/>
        </w:rPr>
        <w:t>ordering</w:t>
      </w:r>
      <w:r>
        <w:t xml:space="preserve"> carries (AUC 0.639,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0.702 to 0.945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2.63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λ₀ must not be read across beds as a safety ranking.</w:t>
      </w:r>
      <w:r>
        <w:t xml:space="preserve"> λ₀(carotid) = 0.006 and λ₀(btk) = 0.092 differ 15-fold, and a clinician could read that as carotid stenting being fifteen times safer than below-the-knee intervention. It is not what the numbers say. CD-TLR is not the harm-relevant endpoint in either bed — in the carotid it is stroke and death, below the knee it is amputation and wound healing — and the below-knee figure is biased </w:t>
      </w:r>
      <w:r>
        <w:rPr>
          <w:i/>
        </w:rPr>
        <w:t>downward</w:t>
      </w:r>
      <w:r>
        <w:t xml:space="preserve"> by competing risk, because a patient who has lost the limb or died cannot have a target-lesion revascularisation. λ₀ is a within-bed scale factor for one endpoint, and every cross-bed comparison the operator invites on it is invalid. </w:t>
      </w:r>
      <w:r>
        <w:rPr>
          <w:b/>
        </w:rPr>
        <w:t>Fixed since the first draft, and reported because the fix changed the result:</w:t>
      </w:r>
      <w:r>
        <w:t xml:space="preserve"> the neointimal ceiling, the balloon overstretch term, the use of lesion stenosis, the sirolimus-balloon dose, and a bare-metal stent that the renal reference case was sizing beyond its own catalogue range because nothing checked. §4.1 gives the detail, and </w:t>
      </w:r>
      <w:r>
        <w:rPr>
          <w:rFonts w:ascii="Consolas" w:hAnsi="Consolas"/>
          <w:sz w:val="19"/>
        </w:rPr>
        <w:t>check_plan()</w:t>
      </w:r>
      <w:r>
        <w:t xml:space="preserve"> now refuses a plan a device cannot physically be.</w:t>
      </w:r>
    </w:p>
    <w:p>
      <w:r>
        <w:rPr>
          <w:b/>
        </w:rPr>
        <w:t>Still true of the shipped model:</w:t>
      </w:r>
    </w:p>
    <w:p>
      <w:pPr>
        <w:pStyle w:val="ListBullet"/>
      </w:pPr>
      <w:r>
        <w:rPr>
          <w:b/>
        </w:rPr>
        <w:t>Six of twelve anchors still reach the Γ_H floor within year one</w:t>
      </w:r>
      <w:r>
        <w:t>, down from nine. For those six the hemodynamic axis reports a clip rather than physics, and reducing it further costs 0.65 points of accuracy and the identifiability of the mechanical axis (§4.2). The regression test asserts six rather than the two we want, so that the defect stays visible instead of passing quietly.</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There is still no dissection, bailout-stenting or perforation term</w:t>
      </w:r>
      <w:r>
        <w:t>, so an oversized balloon is charged through wall stress alone. Γ_M is no longer inert for balloons, but the specific complications that make oversizing dangerous are absent.</w:t>
      </w:r>
    </w:p>
    <w:p>
      <w:pPr>
        <w:pStyle w:val="ListBullet"/>
      </w:pPr>
      <w:r>
        <w:rPr>
          <w:b/>
        </w:rPr>
        <w:t>The worst anchor still implies a 70% diameter stenosis at twelve months</w:t>
      </w:r>
      <w:r>
        <w:t>, in a below-the-knee lesion whose observed CD-TLR is 13%. The neointimal ceiling binds there rather than the fitted constant, so the number is a bound, not a prediction.</w:t>
      </w:r>
    </w:p>
    <w:p>
      <w:pPr>
        <w:pStyle w:val="ListBullet"/>
      </w:pPr>
      <w:r>
        <w:rPr>
          <w:b/>
        </w:rPr>
        <w:t>Not a clinical decision tool</w:t>
      </w:r>
      <w:r>
        <w:t xml:space="preserve"> and must not be used as one.</w:t>
      </w:r>
    </w:p>
    <w:p>
      <w:pPr>
        <w:pStyle w:val="Heading2"/>
      </w:pPr>
      <w:r>
        <w:t>8.1 What the physiological bounds cost, and why we report the cost</w:t>
      </w:r>
    </w:p>
    <w:p>
      <w:r>
        <w:t>The single most useful thing in this paper may be the frontier in §4.2, so it is worth restating as a limitation rather than a finding. The operator can reproduce twelve published 12-month event rates to 1.18 points — while implying a millimetre of neointima per side and holding nine of twelve anchors against a numerical floor. Forced toward quantities an artery could actually have, it reaches 3.46 points, misses its worst anchor by 18, and pins nine of eleven constants at a bound.</w:t>
      </w:r>
    </w:p>
    <w:p>
      <w:r>
        <w:rPr>
          <w:b/>
        </w:rPr>
        <w:t>That is not a tuning problem, and we have not solved it.</w:t>
      </w:r>
      <w:r>
        <w:t xml:space="preserve"> It says the operator as specified cannot reproduce these outcomes through a physiologically defensible path. The shipped constants sit in the middle of the frontier, chosen because it is the only setting in which all four axes are identified — not because it is right.</w:t>
      </w:r>
    </w:p>
    <w:p>
      <w:r>
        <w:t>What would settle it is not another refit. Late lumen loss and follow-up percent diameter stenosis are published by the very trials these anchors come from, are free to check, and would either confirm the operator's internals or kill them in an afternoon. That is falsification item 6, and it is the first thing we intend to do.</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color w:val="A8332A"/>
          <w:sz w:val="19"/>
        </w:rPr>
        <w:t>The code, the anchor set with its provenance, the citation-audit record and the</w:t>
      </w:r>
    </w:p>
    <w:p>
      <w:pPr>
        <w:ind w:left="432"/>
      </w:pPr>
      <w:r>
        <w:rPr>
          <w:color w:val="A8332A"/>
          <w:sz w:val="19"/>
        </w:rPr>
        <w:t>scripts that regenerate every figure are archived under a Zenodo concept DOI, which</w:t>
      </w:r>
    </w:p>
    <w:p>
      <w:pPr>
        <w:ind w:left="432"/>
      </w:pPr>
      <w:r>
        <w:rPr>
          <w:color w:val="A8332A"/>
          <w:sz w:val="19"/>
        </w:rPr>
        <w:t>resolves to the latest version. The version described here is v0.1.0.</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In press (accepted 14 September 2026).</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Figure 4. The accuracy / plausibility frontier.</w:t>
      </w:r>
      <w:r>
        <w:t xml:space="preserve"> Eleven constants refitted from scratch at four settings of the two bounds that control how degenerate the operator's internal quantities may be. </w:t>
      </w:r>
      <w:r>
        <w:rPr>
          <w:b/>
        </w:rPr>
        <w:t>(a)</w:t>
      </w:r>
      <w:r>
        <w:t xml:space="preserve"> Anchor error rises monotonically as the internals are forced toward plausibility. </w:t>
      </w:r>
      <w:r>
        <w:rPr>
          <w:b/>
        </w:rPr>
        <w:t>(b)</w:t>
      </w:r>
      <w:r>
        <w:t xml:space="preserve"> What is bought: the worst implied neointimal thickness per side (blue, against the shaded range measured by optical coherence tomography for a contemporary stent) and the number of anchors whose hemodynamic axis sits at its numerical floor at 365 days (orange). </w:t>
      </w:r>
      <w:r>
        <w:rPr>
          <w:b/>
        </w:rPr>
        <w:t>(c)</w:t>
      </w:r>
      <w:r>
        <w:t xml:space="preserve"> Whether the mechanical axis earns its place, as the error cost of removing it. It is identified only at the second setting, which is the one shipped.</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55727"/>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55727"/>
                    </a:xfrm>
                    <a:prstGeom prst="rect"/>
                  </pic:spPr>
                </pic:pic>
              </a:graphicData>
            </a:graphic>
          </wp:inline>
        </w:drawing>
      </w:r>
    </w:p>
    <w:p>
      <w:pPr>
        <w:jc w:val="center"/>
      </w:pPr>
      <w:r>
        <w:rPr>
          <w:i/>
          <w:sz w:val="18"/>
        </w:rPr>
        <w:t>Figure 3. Legend in the text.</w:t>
      </w:r>
    </w:p>
    <w:p>
      <w:pPr>
        <w:jc w:val="center"/>
      </w:pPr>
      <w:r>
        <w:drawing>
          <wp:inline xmlns:a="http://schemas.openxmlformats.org/drawingml/2006/main" xmlns:pic="http://schemas.openxmlformats.org/drawingml/2006/picture">
            <wp:extent cx="5852160" cy="1906961"/>
            <wp:docPr id="4" name="Picture 4"/>
            <wp:cNvGraphicFramePr>
              <a:graphicFrameLocks noChangeAspect="1"/>
            </wp:cNvGraphicFramePr>
            <a:graphic>
              <a:graphicData uri="http://schemas.openxmlformats.org/drawingml/2006/picture">
                <pic:pic>
                  <pic:nvPicPr>
                    <pic:cNvPr id="0" name="fig4_frontier.png"/>
                    <pic:cNvPicPr/>
                  </pic:nvPicPr>
                  <pic:blipFill>
                    <a:blip r:embed="rId12"/>
                    <a:stretch>
                      <a:fillRect/>
                    </a:stretch>
                  </pic:blipFill>
                  <pic:spPr>
                    <a:xfrm>
                      <a:off x="0" y="0"/>
                      <a:ext cx="5852160" cy="1906961"/>
                    </a:xfrm>
                    <a:prstGeom prst="rect"/>
                  </pic:spPr>
                </pic:pic>
              </a:graphicData>
            </a:graphic>
          </wp:inline>
        </w:drawing>
      </w:r>
    </w:p>
    <w:p>
      <w:pPr>
        <w:jc w:val="center"/>
      </w:pPr>
      <w:r>
        <w:rPr>
          <w:i/>
          <w:sz w:val="18"/>
        </w:rPr>
        <w:t>Figure 4.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9.6%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22.9%</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12.8%</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11.0%</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4.5%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60.4%</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1.9%</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6.1%</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