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Suitcordance: a calibrated, time-resolved operator for device–vessel matching across the arterial tree, and an audit of the literature values it was calibrated against</w:t>
      </w:r>
    </w:p>
    <w:p>
      <w:r>
        <w:rPr>
          <w:b/>
        </w:rPr>
        <w:t>Lingsen You</w:t>
      </w:r>
      <w:r>
        <w:t>¹ ‡</w:t>
      </w:r>
    </w:p>
    <w:p>
      <w:r>
        <w:t>¹ Department of Cardiology, Zhongshan Hospital, Fudan University, Shanghai, China</w:t>
      </w:r>
    </w:p>
    <w:p>
      <w:r>
        <w:t>‡ Corresponding author.</w:t>
      </w:r>
    </w:p>
    <w:p>
      <w:pPr>
        <w:ind w:left="432"/>
      </w:pPr>
      <w:r>
        <w:rPr>
          <w:b/>
          <w:color w:val="A8332A"/>
          <w:sz w:val="19"/>
        </w:rPr>
        <w:t>AUTHORSHIP — RESOLVE BEFORE POSTING.</w:t>
      </w:r>
      <w:r>
        <w:rPr>
          <w:color w:val="A8332A"/>
          <w:sz w:val="19"/>
        </w:rPr>
        <w:t xml:space="preserve"> This draft carries one author. Every</w:t>
      </w:r>
    </w:p>
    <w:p>
      <w:pPr>
        <w:ind w:left="432"/>
      </w:pPr>
      <w:r>
        <w:rPr>
          <w:color w:val="A8332A"/>
          <w:sz w:val="19"/>
        </w:rPr>
        <w:t>person who contributed to the framework, the device parameters or the cohorts</w:t>
      </w:r>
    </w:p>
    <w:p>
      <w:pPr>
        <w:ind w:left="432"/>
      </w:pPr>
      <w:r>
        <w:rPr>
          <w:color w:val="A8332A"/>
          <w:sz w:val="19"/>
        </w:rPr>
        <w:t>named in §8 must be added and must consent in writing to the preprint being</w:t>
      </w:r>
    </w:p>
    <w:p>
      <w:pPr>
        <w:ind w:left="432"/>
      </w:pPr>
      <w:r>
        <w:rPr>
          <w:color w:val="A8332A"/>
          <w:sz w:val="19"/>
        </w:rPr>
        <w:t>posted; bioRxiv requires the corresponding author to confirm that all authors</w:t>
      </w:r>
    </w:p>
    <w:p>
      <w:pPr>
        <w:ind w:left="432"/>
      </w:pPr>
      <w:r>
        <w:rPr>
          <w:color w:val="A8332A"/>
          <w:sz w:val="19"/>
        </w:rPr>
        <w:t>agree. Do not add a senior author's name without their explicit sign-off on</w:t>
      </w:r>
    </w:p>
    <w:p>
      <w:pPr>
        <w:ind w:left="432"/>
      </w:pPr>
      <w:r>
        <w:rPr>
          <w:color w:val="A8332A"/>
          <w:sz w:val="19"/>
        </w:rPr>
        <w:t>this specific version.</w:t>
      </w:r>
    </w:p>
    <w:p>
      <w:pPr>
        <w:pStyle w:val="Heading1"/>
      </w:pPr>
      <w:r>
        <w:t>Abstract</w:t>
      </w:r>
    </w:p>
    <w:p>
      <w:r>
        <w:t>Device selection in endovascular intervention is governed by bed-specific rules of</w:t>
      </w:r>
    </w:p>
    <w:p>
      <w:r>
        <w:t>thumb that are not commensurable across arterial beds and carry no explicit time</w:t>
      </w:r>
    </w:p>
    <w:p>
      <w:r>
        <w:t xml:space="preserve">course. We formalise device–vessel failure as a property of the </w:t>
      </w:r>
      <w:r>
        <w:rPr>
          <w:i/>
        </w:rPr>
        <w:t>agreement</w:t>
      </w:r>
    </w:p>
    <w:p>
      <w:r>
        <w:t>between device and vessel rather than of either alone, and define a suitcordance</w:t>
      </w:r>
    </w:p>
    <w:p>
      <w:r>
        <w:t>operator Γ_sc on four axes: geometric, mechanical, hemodynamic and biological. The</w:t>
      </w:r>
    </w:p>
    <w:p>
      <w:r>
        <w:t>axes combine as a bed-weighted geometric mean, so that a collapse on any one axis</w:t>
      </w:r>
    </w:p>
    <w:p>
      <w:r>
        <w:t>cannot be compensated by the other three. Every axis is a function of time, which</w:t>
      </w:r>
    </w:p>
    <w:p>
      <w:r>
        <w:t>yields two scalars the static formulation lacked: a time constant τ_sc, the time by</w:t>
      </w:r>
    </w:p>
    <w:p>
      <w:r>
        <w:t>which the trajectory has accumulated 63.2% of its total variation, and a</w:t>
      </w:r>
    </w:p>
    <w:p>
      <w:r>
        <w:t>time-averaged mismatch dose. Risk is linked through λ(t) = λ₀·exp(β·(Γ*−Γ_sc(t))),</w:t>
      </w:r>
    </w:p>
    <w:p>
      <w:r>
        <w:t>anchored per bed at the match level that bed's own reference device attains.</w:t>
      </w:r>
    </w:p>
    <w:p>
      <w:r>
        <w:t>Calibrating such an operator requires published event rates, and assembling them</w:t>
      </w:r>
    </w:p>
    <w:p>
      <w:r>
        <w:t>turned out to be the hardest and most instructive part of the work. Our first</w:t>
      </w:r>
    </w:p>
    <w:p>
      <w:r>
        <w:t>anchor set of sixteen literature values was subjected to an adversarial citation</w:t>
      </w:r>
    </w:p>
    <w:p>
      <w:r>
        <w:t>audit in which every value was independently hunted and then attacked by two</w:t>
      </w:r>
    </w:p>
    <w:p>
      <w:r>
        <w:t>skeptics. **Only three of the sixteen were values the primary source actually</w:t>
      </w:r>
    </w:p>
    <w:p>
      <w:r>
        <w:t>reports at a commensurable endpoint, and two of those three were the two arms of a</w:t>
      </w:r>
    </w:p>
    <w:p>
      <w:r>
        <w:t>single trial.** The remaining thirteen were stated high, by factors of 1.0 to 5.8,</w:t>
      </w:r>
    </w:p>
    <w:p>
      <w:r>
        <w:t xml:space="preserve">and five could be reverse-engineered exactly from a </w:t>
      </w:r>
      <w:r>
        <w:rPr>
          <w:i/>
        </w:rPr>
        <w:t>different</w:t>
      </w:r>
      <w:r>
        <w:t xml:space="preserve"> endpoint reported</w:t>
      </w:r>
    </w:p>
    <w:p>
      <w:r>
        <w:t>in the correctly cited paper — endpoint substitution rather than transcription</w:t>
      </w:r>
    </w:p>
    <w:p>
      <w:r>
        <w:t>error. Within a single trial, target lesion failure and clinically driven target</w:t>
      </w:r>
    </w:p>
    <w:p>
      <w:r>
        <w:t>lesion revascularisation differ by two- to threefold, so a claim that the endpoint</w:t>
      </w:r>
    </w:p>
    <w:p>
      <w:r>
        <w:t>is "held constant" while either may be used holds nothing constant.</w:t>
      </w:r>
    </w:p>
    <w:p>
      <w:r>
        <w:t>We therefore report the corrected calibration: 12 anchors, all</w:t>
      </w:r>
    </w:p>
    <w:p>
      <w:r>
        <w:t>revascularisation constructs, each carrying seven declared provenance fields, with</w:t>
      </w:r>
    </w:p>
    <w:p>
      <w:r>
        <w:t>four further anchors excluded and listed. Eleven free constants fit these with a</w:t>
      </w:r>
    </w:p>
    <w:p>
      <w:r>
        <w:t>mean absolute error of 1.4 percentage points — which we report as a consistency check</w:t>
      </w:r>
    </w:p>
    <w:p>
      <w:r>
        <w:t>and not as performance, because eleven constants against roughly seven informative</w:t>
      </w:r>
    </w:p>
    <w:p>
      <w:r>
        <w:t>comparisons is under-determined. Seven of the eleven land on their bounds, and two of</w:t>
      </w:r>
    </w:p>
    <w:p>
      <w:r>
        <w:t>those are the compliance-mismatch and overstretch kernels: once the anchors are</w:t>
      </w:r>
    </w:p>
    <w:p>
      <w:r>
        <w:t>corrected, the fit no longer needs the mechanical axis. We read that as a 12-month</w:t>
      </w:r>
    </w:p>
    <w:p>
      <w:r>
        <w:t>revascularisation endpoint having no power over slow-acting mechanics rather than as</w:t>
      </w:r>
    </w:p>
    <w:p>
      <w:r>
        <w:t>the axis being empty, and §7 states the test that would decide it. In a 9,000-procedure simulation</w:t>
      </w:r>
    </w:p>
    <w:p>
      <w:r>
        <w:t>with an unobserved frailty term and realistic measurement error, the operator's</w:t>
      </w:r>
    </w:p>
    <w:p>
      <w:r>
        <w:t>four-number summary reached AUC 0.790 at n = 100, a level 55 raw</w:t>
      </w:r>
    </w:p>
    <w:p>
      <w:r>
        <w:t>features had not reached by n = 800. The pan-vascular transfer claim did not survive</w:t>
      </w:r>
    </w:p>
    <w:p>
      <w:r>
        <w:t>its own test: against a linear model given the same continuous bed physiology, the</w:t>
      </w:r>
    </w:p>
    <w:p>
      <w:r>
        <w:t>operator's cross-bed advantage was -0.024 AUC (95% bootstrap -0.041 to -0.010),</w:t>
      </w:r>
    </w:p>
    <w:p>
      <w:r>
        <w:t>an interval that excludes zero: it is worse.</w:t>
      </w:r>
    </w:p>
    <w:p>
      <w:r>
        <w:t>No patient-level data were used. This is a modelling, calibration and</w:t>
      </w:r>
    </w:p>
    <w:p>
      <w:r>
        <w:t>evidence-audit report, not a validation.</w:t>
      </w:r>
    </w:p>
    <w:p>
      <w:r>
        <w:rPr>
          <w:b/>
        </w:rPr>
        <w:t>Keywords:</w:t>
      </w:r>
      <w:r>
        <w:t xml:space="preserve"> pan-vascular intervention, device–vessel matching, endpoint</w:t>
      </w:r>
    </w:p>
    <w:p>
      <w:r>
        <w:t>definition, calibration, evidence audit, bioresorbable scaffold, drug-coated balloon</w:t>
      </w:r>
    </w:p>
    <w:p>
      <w:pPr>
        <w:pStyle w:val="Heading1"/>
      </w:pPr>
      <w:r>
        <w:t>1. Introduction</w:t>
      </w:r>
    </w:p>
    <w:p>
      <w:r>
        <w:t>An interventionalist choosing a device is solving a matching problem, but the tools</w:t>
      </w:r>
    </w:p>
    <w:p>
      <w:r>
        <w:t>of the trade do not describe it as one. Sizing rules are bed-specific and mutually</w:t>
      </w:r>
    </w:p>
    <w:p>
      <w:r>
        <w:t>untranslatable: 1:1 to the distal reference in a coronary artery, 10–20% oversizing</w:t>
      </w:r>
    </w:p>
    <w:p>
      <w:r>
        <w:t>for a self-expanding femoropopliteal stent, 15–50% in the carotid. Each rule is</w:t>
      </w:r>
    </w:p>
    <w:p>
      <w:r>
        <w:t>defensible in its own bed, and none of them says what the rules have in common —</w:t>
      </w:r>
    </w:p>
    <w:p>
      <w:r>
        <w:t>that a device and a vessel can agree or disagree along several axes at once, and</w:t>
      </w:r>
    </w:p>
    <w:p>
      <w:r>
        <w:t>that the disagreement evolves.</w:t>
      </w:r>
    </w:p>
    <w:p>
      <w:r>
        <w:t>Every clinically consequential mismatch has a time course. A scaffold's compliance</w:t>
      </w:r>
    </w:p>
    <w:p>
      <w:r>
        <w:t>converges on the wall's as it resorbs; a drug washes out while the proliferative</w:t>
      </w:r>
    </w:p>
    <w:p>
      <w:r>
        <w:t>stimulus it opposes decays on its own schedule; a nitinol stent accumulates fatigue</w:t>
      </w:r>
    </w:p>
    <w:p>
      <w:r>
        <w:t>over the first year in the flexion zone. Yet device–vessel matching is almost always</w:t>
      </w:r>
    </w:p>
    <w:p>
      <w:r>
        <w:t>discussed as a property of the moment of implantation, and two devices that look</w:t>
      </w:r>
    </w:p>
    <w:p>
      <w:r>
        <w:t>identical on the table can diverge over the following two years for reasons that are</w:t>
      </w:r>
    </w:p>
    <w:p>
      <w:r>
        <w:t>predictable from their materials.</w:t>
      </w:r>
    </w:p>
    <w:p>
      <w:r>
        <w:t>This paper does four things. It defines an operator that computes the agreement</w:t>
      </w:r>
    </w:p>
    <w:p>
      <w:r>
        <w:t>between a device and a vessel on four axes, as a function of time, in any of six</w:t>
      </w:r>
    </w:p>
    <w:p>
      <w:r>
        <w:t>arterial beds from one parameter set (§2). It reports an adversarial audit of the</w:t>
      </w:r>
    </w:p>
    <w:p>
      <w:r>
        <w:t>literature values such an operator has to be calibrated against, which found most of</w:t>
      </w:r>
    </w:p>
    <w:p>
      <w:r>
        <w:t>our own first attempt to be wrong (§3) — a result we believe generalises well beyond</w:t>
      </w:r>
    </w:p>
    <w:p>
      <w:r>
        <w:t>this model. It fits the operator to the corrected values (§4) and tests, in</w:t>
      </w:r>
    </w:p>
    <w:p>
      <w:r>
        <w:t>simulation, the claim that motivated the construction, reporting that the claim</w:t>
      </w:r>
    </w:p>
    <w:p>
      <w:r>
        <w:t>failed (§5). And it states what would falsify the operator on real data before</w:t>
      </w:r>
    </w:p>
    <w:p>
      <w:r>
        <w:t>anyone runs it (§7).</w:t>
      </w:r>
    </w:p>
    <w:p>
      <w:pPr>
        <w:pStyle w:val="Heading1"/>
      </w:pPr>
      <w:r>
        <w:t>2. The operator</w:t>
      </w:r>
    </w:p>
    <w:p>
      <w:pPr>
        <w:pStyle w:val="Heading2"/>
      </w:pPr>
      <w:r>
        <w:t>2.1 Four axes</w:t>
      </w:r>
    </w:p>
    <w:p>
      <w:r>
        <w:t xml:space="preserve">For a lesion </w:t>
      </w:r>
      <w:r>
        <w:rPr>
          <w:i/>
        </w:rPr>
        <w:t>x</w:t>
      </w:r>
      <w:r>
        <w:t xml:space="preserve"> (bed, proximal and distal reference diameter, length, calcium,</w:t>
      </w:r>
    </w:p>
    <w:p>
      <w:r>
        <w:t>tortuosity, bifurcation, side branch, runoff, diabetes, inflammatory burden) and a</w:t>
      </w:r>
    </w:p>
    <w:p>
      <w:r>
        <w:t xml:space="preserve">plan </w:t>
      </w:r>
      <w:r>
        <w:rPr>
          <w:i/>
        </w:rPr>
        <w:t>a</w:t>
      </w:r>
      <w:r>
        <w:t xml:space="preserve"> (device class, nominal diameter, length, number of devices, lesion</w:t>
      </w:r>
    </w:p>
    <w:p>
      <w:r>
        <w:t>preparation, post-dilatation), four agreement functions are defined on [0, 1]:</w:t>
      </w:r>
    </w:p>
    <w:p>
      <w:r>
        <w:rPr>
          <w:b/>
        </w:rPr>
        <w:t>Γ_G, geometric.</w:t>
      </w:r>
      <w:r>
        <w:t xml:space="preserve"> Device-to-vessel diameter ratio against the bed's own band, with</w:t>
      </w:r>
    </w:p>
    <w:p>
      <w:r>
        <w:t>asymmetric penalties above and below it (undersizing bites harder than oversizing);</w:t>
      </w:r>
    </w:p>
    <w:p>
      <w:r>
        <w:t>edge coverage margin, penalised steeply for geographic miss and gently for needless</w:t>
      </w:r>
    </w:p>
    <w:p>
      <w:r>
        <w:t>edge injury; conformability against tortuosity; and the residual mismatch a straight</w:t>
      </w:r>
    </w:p>
    <w:p>
      <w:r>
        <w:t>device leaves in a tapering vessel. For a device that leaves nothing behind, the</w:t>
      </w:r>
    </w:p>
    <w:p>
      <w:r>
        <w:t>geometric question is whether the balloon was sized correctly at inflation — what</w:t>
      </w:r>
    </w:p>
    <w:p>
      <w:r>
        <w:t>recoil then costs is charged to Γ_H as residual lumen, not twice.</w:t>
      </w:r>
    </w:p>
    <w:p>
      <w:r>
        <w:rPr>
          <w:b/>
        </w:rPr>
        <w:t>Γ_M, mechanical.</w:t>
      </w:r>
      <w:r>
        <w:t xml:space="preserve"> Compliance mismatch between device and wall, where wall</w:t>
      </w:r>
    </w:p>
    <w:p>
      <w:r>
        <w:t>compliance falls with calcium and device compliance for a resorbable scaffold relaxes</w:t>
      </w:r>
    </w:p>
    <w:p>
      <w:r>
        <w:t>toward the wall's with its degradation time constant; overstretch wall stress against</w:t>
      </w:r>
    </w:p>
    <w:p>
      <w:r>
        <w:t>a calcium-dependent tolerable strain; and cyclic fatigue, which accrues over the</w:t>
      </w:r>
    </w:p>
    <w:p>
      <w:r>
        <w:t>first year in proportion to the bed's deformation burden, the device's fatigue</w:t>
      </w:r>
    </w:p>
    <w:p>
      <w:r>
        <w:t>resistance and the implanted length. A device that leaves nothing behind is, by</w:t>
      </w:r>
    </w:p>
    <w:p>
      <w:r>
        <w:t>construction, a perfect compliance match — which is why the classic drug-coated</w:t>
      </w:r>
    </w:p>
    <w:p>
      <w:r>
        <w:t>balloon trade-off falls out of the model rather than being written into it: perfect</w:t>
      </w:r>
    </w:p>
    <w:p>
      <w:r>
        <w:t>on Γ_M, unhelped against recoil on Γ_G and Γ_H.</w:t>
      </w:r>
    </w:p>
    <w:p>
      <w:r>
        <w:rPr>
          <w:b/>
        </w:rPr>
        <w:t>Γ_H, hemodynamic.</w:t>
      </w:r>
      <w:r>
        <w:t xml:space="preserve"> Flow lumen restored, computed from the deployed diameter less</w:t>
      </w:r>
    </w:p>
    <w:p>
      <w:r>
        <w:t>struts and the neointima that grows on them, against the reference; strut flow</w:t>
      </w:r>
    </w:p>
    <w:p>
      <w:r>
        <w:t>disturbance, scaled by strut thickness over calibre and by the bed's baseline shear,</w:t>
      </w:r>
    </w:p>
    <w:p>
      <w:r>
        <w:t>decaying as struts are covered; and branch cost, for a covered device across a branch</w:t>
      </w:r>
    </w:p>
    <w:p>
      <w:r>
        <w:t>that matters, a stented bifurcation, or a peripheral lesion with poor runoff.</w:t>
      </w:r>
    </w:p>
    <w:p>
      <w:r>
        <w:rPr>
          <w:b/>
        </w:rPr>
        <w:t>Γ_B, biological.</w:t>
      </w:r>
      <w:r>
        <w:t xml:space="preserve"> Antiproliferative supply against neointimal drive. Drive is the</w:t>
      </w:r>
    </w:p>
    <w:p>
      <w:r>
        <w:t>bed's proliferative propensity scaled by diabetes, inflammatory burden and the</w:t>
      </w:r>
    </w:p>
    <w:p>
      <w:r>
        <w:t>barotrauma the plan delivers; supply is the device's drug concentration decaying with</w:t>
      </w:r>
    </w:p>
    <w:p>
      <w:r>
        <w:t xml:space="preserve">its retention constant. What is penalised is the </w:t>
      </w:r>
      <w:r>
        <w:rPr>
          <w:i/>
        </w:rPr>
        <w:t>fraction</w:t>
      </w:r>
      <w:r>
        <w:t xml:space="preserve"> of drive left unopposed,</w:t>
      </w:r>
    </w:p>
    <w:p>
      <w:r>
        <w:t>not its absolute size, so a drug outliving its stimulus earns nothing. A second term</w:t>
      </w:r>
    </w:p>
    <w:p>
      <w:r>
        <w:t>charges the healing window: the period struts stay uncovered, lengthened by the drug</w:t>
      </w:r>
    </w:p>
    <w:p>
      <w:r>
        <w:t>and by strut thickness, and for a resorbable device the agreement between resorption</w:t>
      </w:r>
    </w:p>
    <w:p>
      <w:r>
        <w:t>and healing timescales.</w:t>
      </w:r>
    </w:p>
    <w:p>
      <w:pPr>
        <w:pStyle w:val="Heading2"/>
      </w:pPr>
      <w:r>
        <w:t>2.2 Composition</w:t>
      </w:r>
    </w:p>
    <w:p>
      <w:pPr>
        <w:spacing w:after="40"/>
      </w:pPr>
      <w:r>
        <w:rPr>
          <w:rFonts w:ascii="Consolas" w:hAnsi="Consolas"/>
          <w:sz w:val="19"/>
        </w:rPr>
        <w:t>Γ_sc(x, a, t) = Π_i Γ_i(x, a, t)^{w_i(bed)},   Σ_i w_i = 1</w:t>
      </w:r>
    </w:p>
    <w:p>
      <w:r>
        <w:t>The geometric mean is the modelling commitment, not a convenience. A device fails</w:t>
      </w:r>
    </w:p>
    <w:p>
      <w:r>
        <w:t>along its worst-matched axis, and a product cannot be rescued by a high score</w:t>
      </w:r>
    </w:p>
    <w:p>
      <w:r>
        <w:t>elsewhere the way a sum can. Weights are bed-specific and declared: the mechanical</w:t>
      </w:r>
    </w:p>
    <w:p>
      <w:r>
        <w:t>axis carries the largest weight in the femoropopliteal artery, where stent fracture</w:t>
      </w:r>
    </w:p>
    <w:p>
      <w:r>
        <w:t>is a real failure mode; the geometric axis carries it in the carotid, where large</w:t>
      </w:r>
    </w:p>
    <w:p>
      <w:r>
        <w:t>deliberate oversizing is the technique.</w:t>
      </w:r>
    </w:p>
    <w:p>
      <w:pPr>
        <w:pStyle w:val="Heading2"/>
      </w:pPr>
      <w:r>
        <w:t>2.3 Time, and τ_sc</w:t>
      </w:r>
    </w:p>
    <w:p>
      <w:r>
        <w:t>Γ_sc is evaluated on a day grid to two years. Two scalars are read off it:</w:t>
      </w:r>
    </w:p>
    <w:p>
      <w:pPr>
        <w:spacing w:after="40"/>
      </w:pPr>
      <w:r>
        <w:rPr>
          <w:rFonts w:ascii="Consolas" w:hAnsi="Consolas"/>
          <w:sz w:val="19"/>
        </w:rPr>
        <w:t>τ_sc : the time t at which ∫₀^t |dΓ_sc/ds| ds = 0.632 · ∫₀^T |dΓ_sc/ds| ds</w:t>
      </w:r>
    </w:p>
    <w:p>
      <w:pPr>
        <w:spacing w:after="40"/>
      </w:pPr>
      <w:r>
        <w:rPr>
          <w:rFonts w:ascii="Consolas" w:hAnsi="Consolas"/>
          <w:sz w:val="19"/>
        </w:rPr>
        <w:t>D_T  : (1/T) ∫₀^T (1 − Γ_sc(t)) dt</w:t>
      </w:r>
    </w:p>
    <w:p>
      <w:r>
        <w:t>τ_sc is defined on total variation rather than on a monotone approach to an</w:t>
      </w:r>
    </w:p>
    <w:p>
      <w:r>
        <w:t>asymptote, so it stays well defined when the trajectory is non-monotone, which it</w:t>
      </w:r>
    </w:p>
    <w:p>
      <w:r>
        <w:t>routinely is. It separates devices that are indistinguishable at implantation</w:t>
      </w:r>
    </w:p>
    <w:p>
      <w:r>
        <w:t>(Figure 1b): in the same coronary lesion a paclitaxel-coated balloon has τ_sc ≈ 132</w:t>
      </w:r>
    </w:p>
    <w:p>
      <w:r>
        <w:t>days while a thin-strut drug-eluting stent has τ_sc ≈ 265 days — the balloon's fate</w:t>
      </w:r>
    </w:p>
    <w:p>
      <w:r>
        <w:t>is settled in the first four months, the stent's is not.</w:t>
      </w:r>
    </w:p>
    <w:p>
      <w:pPr>
        <w:pStyle w:val="Heading2"/>
      </w:pPr>
      <w:r>
        <w:t>2.4 Hazard link</w:t>
      </w:r>
    </w:p>
    <w:p>
      <w:pPr>
        <w:spacing w:after="40"/>
      </w:pPr>
      <w:r>
        <w:rPr>
          <w:rFonts w:ascii="Consolas" w:hAnsi="Consolas"/>
          <w:sz w:val="19"/>
        </w:rPr>
        <w:t>λ(t) = λ₀(bed) · exp(β · (Γ*_bed − Γ_sc(t)))</w:t>
      </w:r>
    </w:p>
    <w:p>
      <w:r>
        <w:t>λ₀ is the bed's published best-practice 12-month clinically driven TLR. Γ*_bed is</w:t>
      </w:r>
    </w:p>
    <w:p>
      <w:r>
        <w:rPr>
          <w:b/>
        </w:rPr>
        <w:t>not</w:t>
      </w:r>
      <w:r>
        <w:t xml:space="preserve"> a global constant: it is the year-one mean match that the bed's own reference</w:t>
      </w:r>
    </w:p>
    <w:p>
      <w:r>
        <w:t>device attains under the current parameters. Anchoring per bed was necessary rather</w:t>
      </w:r>
    </w:p>
    <w:p>
      <w:r>
        <w:t>than cosmetic — best practice does not reach the same absolute Γ_sc in every bed, and</w:t>
      </w:r>
    </w:p>
    <w:p>
      <w:r>
        <w:t>a global Γ* forced the fit to over-predict systematically where the achievable match</w:t>
      </w:r>
    </w:p>
    <w:p>
      <w:r>
        <w:t>is lowest.</w:t>
      </w:r>
    </w:p>
    <w:p>
      <w:pPr>
        <w:pStyle w:val="Heading1"/>
      </w:pPr>
      <w:r>
        <w:t>3. An audit of the literature values</w:t>
      </w:r>
    </w:p>
    <w:p>
      <w:pPr>
        <w:pStyle w:val="Heading2"/>
      </w:pPr>
      <w:r>
        <w:t>3.1 Why this section exists</w:t>
      </w:r>
    </w:p>
    <w:p>
      <w:r>
        <w:t>A mechanistic model of device–vessel matching is only as good as the outcome rates it</w:t>
      </w:r>
    </w:p>
    <w:p>
      <w:r>
        <w:t>is tied to, and those rates are the part of such a paper that is least often checked.</w:t>
      </w:r>
    </w:p>
    <w:p>
      <w:r>
        <w:t>We built a first anchor set of sixteen 12-month event rates across six beds in the</w:t>
      </w:r>
    </w:p>
    <w:p>
      <w:r>
        <w:t>ordinary way: from the interventional literature as the author remembered and</w:t>
      </w:r>
    </w:p>
    <w:p>
      <w:r>
        <w:t>re-read it, each with a note on its justification and a subjective trust weight.</w:t>
      </w:r>
    </w:p>
    <w:p>
      <w:r>
        <w:t>We then audited it adversarially. Each anchor was given to an independent literature</w:t>
      </w:r>
    </w:p>
    <w:p>
      <w:r>
        <w:t xml:space="preserve">agent tasked with finding and </w:t>
      </w:r>
      <w:r>
        <w:rPr>
          <w:i/>
        </w:rPr>
        <w:t>opening</w:t>
      </w:r>
      <w:r>
        <w:t xml:space="preserve"> the primary source, forbidden from inventing</w:t>
      </w:r>
    </w:p>
    <w:p>
      <w:r>
        <w:t>any identifier, and required to report the number and the endpoint exactly as the</w:t>
      </w:r>
    </w:p>
    <w:p>
      <w:r>
        <w:t>source words them. Every citation that came back was then attacked by two further</w:t>
      </w:r>
    </w:p>
    <w:p>
      <w:r>
        <w:t>independent checkers with different briefs — one asked only whether the citation</w:t>
      </w:r>
    </w:p>
    <w:p>
      <w:r>
        <w:t>exists and says this, the other only whether the endpoint, timepoint and population</w:t>
      </w:r>
    </w:p>
    <w:p>
      <w:r>
        <w:t>are the ones claimed — each instructed to default to refutation when unsure.</w:t>
      </w:r>
    </w:p>
    <w:p>
      <w:r>
        <w:t>Forty-nine agents, 696 source lookups.</w:t>
      </w:r>
    </w:p>
    <w:p>
      <w:pPr>
        <w:pStyle w:val="Heading2"/>
      </w:pPr>
      <w:r>
        <w:t>3.2 What the audit found</w:t>
      </w:r>
    </w:p>
    <w:p>
      <w:r>
        <w:rPr>
          <w:b/>
        </w:rPr>
        <w:t>Three of the sixteen survived.</w:t>
      </w:r>
      <w:r>
        <w:t xml:space="preserve"> COR-BRS-plla, SFA-DCB and SFA-POBA were values the</w:t>
      </w:r>
    </w:p>
    <w:p>
      <w:r>
        <w:t>primary source reports at a commensurable endpoint — and two of those three are the</w:t>
      </w:r>
    </w:p>
    <w:p>
      <w:r>
        <w:t>two arms of one trial. The evidence base of the original calibration was two papers</w:t>
      </w:r>
    </w:p>
    <w:p>
      <w:r>
        <w:t>and three numbers.</w:t>
      </w:r>
    </w:p>
    <w:p>
      <w:r>
        <w:rPr>
          <w:b/>
        </w:rPr>
        <w:t>Thirteen values were wrong, every one of them high</w:t>
      </w:r>
      <w:r>
        <w:t>, by factors of 1.02 to 5.83.</w:t>
      </w:r>
    </w:p>
    <w:p>
      <w:r>
        <w:t>The direction is uniform, and the magnitudes are not, so this is not a scale factor a</w:t>
      </w:r>
    </w:p>
    <w:p>
      <w:r>
        <w:t>shared intercept can absorb: it distorts the ordering of the anchors relative to one</w:t>
      </w:r>
    </w:p>
    <w:p>
      <w:r>
        <w:t>another, which is exactly what a cross-bed shared-parameter fit depends on.</w:t>
      </w:r>
    </w:p>
    <w:p>
      <w:r>
        <w:rPr>
          <w:b/>
        </w:rPr>
        <w:t>Five were endpoint substitutions</w:t>
      </w:r>
      <w:r>
        <w:t>, recoverable exactly from a different endpoint in</w:t>
      </w:r>
    </w:p>
    <w:p>
      <w:r>
        <w:t>the correctly cited paper (Table 1):</w:t>
      </w:r>
    </w:p>
    <w:p>
      <w:r>
        <w:t>| anchor | asserted | is actually | correct value |</w:t>
      </w:r>
    </w:p>
    <w:p>
      <w:r>
        <w:t>|---|---|---|---|</w:t>
      </w:r>
    </w:p>
    <w:p>
      <w:r>
        <w:t xml:space="preserve">| SFA-long-bare | 0.350 | 100 − 64.8, primary </w:t>
      </w:r>
      <w:r>
        <w:rPr>
          <w:i/>
        </w:rPr>
        <w:t>patency</w:t>
      </w:r>
      <w:r>
        <w:t xml:space="preserve"> loss | TLR 0.318 |</w:t>
      </w:r>
    </w:p>
    <w:p>
      <w:r>
        <w:t>| RENAL-stent | 0.140 | one-sided 95% upper bound of 9-month binary restenosis (point estimate 10.5%) | CD-TLR 0.059 |</w:t>
      </w:r>
    </w:p>
    <w:p>
      <w:r>
        <w:t xml:space="preserve">| CAR-stent | 0.035 | the trial's primary composite </w:t>
      </w:r>
      <w:r>
        <w:rPr>
          <w:i/>
        </w:rPr>
        <w:t>safety</w:t>
      </w:r>
      <w:r>
        <w:t xml:space="preserve"> endpoint | CD-TLR 0.006 |</w:t>
      </w:r>
    </w:p>
    <w:p>
      <w:r>
        <w:t xml:space="preserve">| COR-POBA | 0.320 | 6-month </w:t>
      </w:r>
      <w:r>
        <w:rPr>
          <w:i/>
        </w:rPr>
        <w:t>angiographic</w:t>
      </w:r>
      <w:r>
        <w:t xml:space="preserve"> restenosis in the </w:t>
      </w:r>
      <w:r>
        <w:rPr>
          <w:i/>
        </w:rPr>
        <w:t>stent</w:t>
      </w:r>
      <w:r>
        <w:t xml:space="preserve"> arm | 1-y symptom-driven TLR 0.170 |</w:t>
      </w:r>
    </w:p>
    <w:p>
      <w:r>
        <w:t>| ILIAC-stent | 0.045 | midpoint of CD-TLR (2.8%) and duplex restenosis (6.1%) | CD-TLR 0.028 |</w:t>
      </w:r>
    </w:p>
    <w:p>
      <w:r>
        <w:t xml:space="preserve">and a sixth, BTK-DCB at 0.120, was the midpoint of the two </w:t>
      </w:r>
      <w:r>
        <w:rPr>
          <w:i/>
        </w:rPr>
        <w:t>arms</w:t>
      </w:r>
      <w:r>
        <w:t xml:space="preserve"> of one trial (9.2%</w:t>
      </w:r>
    </w:p>
    <w:p>
      <w:r>
        <w:t>and 13.1%). None of these is a typing mistake. Each is a plausible number from the</w:t>
      </w:r>
    </w:p>
    <w:p>
      <w:r>
        <w:t>right paper, and each was reachable by someone reading that paper without holding the</w:t>
      </w:r>
    </w:p>
    <w:p>
      <w:r>
        <w:t>endpoint definition fixed.</w:t>
      </w:r>
    </w:p>
    <w:p>
      <w:r>
        <w:rPr>
          <w:b/>
        </w:rPr>
        <w:t>The endpoint was not held constant, and could not have been.</w:t>
      </w:r>
      <w:r>
        <w:t xml:space="preserve"> Within ABSORB III,</w:t>
      </w:r>
    </w:p>
    <w:p>
      <w:r>
        <w:t>TLF is 7.8% and ischaemia-driven TLR is 3.0%; within BIOFLOW V, TLF is 6.2% and</w:t>
      </w:r>
    </w:p>
    <w:p>
      <w:r>
        <w:t>CD-TLR is 2.0%. A stated endpoint of "CD-TLR or TLF" permits a 2–3× choice at every</w:t>
      </w:r>
    </w:p>
    <w:p>
      <w:r>
        <w:t>row. The original set in fact spanned five constructs — CD-TLR, TLF composites,</w:t>
      </w:r>
    </w:p>
    <w:p>
      <w:r>
        <w:t>all-cause TLR, symptom-driven TLR and vessel-level TVF — and three time windows (312,</w:t>
      </w:r>
    </w:p>
    <w:p>
      <w:r>
        <w:t>365 and 390 days). That sentence has been deleted from this paper rather than</w:t>
      </w:r>
    </w:p>
    <w:p>
      <w:r>
        <w:t>repaired.</w:t>
      </w:r>
    </w:p>
    <w:p>
      <w:r>
        <w:rPr>
          <w:b/>
        </w:rPr>
        <w:t>The survival pattern was the opposite of what we expected.</w:t>
      </w:r>
      <w:r>
        <w:t xml:space="preserve"> Coronary anchors</w:t>
      </w:r>
    </w:p>
    <w:p>
      <w:r>
        <w:t>survived 1 of 7; femoropopliteal 3 of 4. Roughly 74% of the original calibration</w:t>
      </w:r>
    </w:p>
    <w:p>
      <w:r>
        <w:t>weight rested on values the sources do not report, concentrated in the bed the author</w:t>
      </w:r>
    </w:p>
    <w:p>
      <w:r>
        <w:t>knows best.</w:t>
      </w:r>
    </w:p>
    <w:p>
      <w:pPr>
        <w:pStyle w:val="Heading2"/>
      </w:pPr>
      <w:r>
        <w:t>3.3 What we did about it</w:t>
      </w:r>
    </w:p>
    <w:p>
      <w:r>
        <w:t>Every anchor now declares seven provenance fields — endpoint construct, trigger</w:t>
      </w:r>
    </w:p>
    <w:p>
      <w:r>
        <w:t>(clinical vs protocol surveillance vs routine angiography), adjudication (independent</w:t>
      </w:r>
    </w:p>
    <w:p>
      <w:r>
        <w:t>committee, core laboratory, or none stated), estimator, analysis unit (patient,</w:t>
      </w:r>
    </w:p>
    <w:p>
      <w:r>
        <w:t>lesion or vessel), actual time window in days, and design. One construct is</w:t>
      </w:r>
    </w:p>
    <w:p>
      <w:r>
        <w:t>preferred, 12-month clinically driven TLR; anchors reporting all-cause or</w:t>
      </w:r>
    </w:p>
    <w:p>
      <w:r>
        <w:t>symptom-driven TLR are labelled and down-weighted rather than silently pooled. Four</w:t>
      </w:r>
    </w:p>
    <w:p>
      <w:r>
        <w:t>anchors were excluded from the fit and are kept in the table so that what was dropped</w:t>
      </w:r>
    </w:p>
    <w:p>
      <w:r>
        <w:t>stays visible: COR-undersized (vessel-level TVF, and stent under-</w:t>
      </w:r>
      <w:r>
        <w:rPr>
          <w:i/>
        </w:rPr>
        <w:t>expansion</w:t>
      </w:r>
      <w:r>
        <w:t xml:space="preserve"> against</w:t>
      </w:r>
    </w:p>
    <w:p>
      <w:r>
        <w:t>an absolute area cut-off is not under-</w:t>
      </w:r>
      <w:r>
        <w:rPr>
          <w:i/>
        </w:rPr>
        <w:t>sizing</w:t>
      </w:r>
      <w:r>
        <w:t>), SFA-long-bare (surveillance-triggered</w:t>
      </w:r>
    </w:p>
    <w:p>
      <w:r>
        <w:t>all-cause TLR, single-arm), COR-DES-complex and COR-DCB-small (TLF composites,</w:t>
      </w:r>
    </w:p>
    <w:p>
      <w:r>
        <w:t>secondary or post hoc). Trust weight now encodes audited evidence quality rather than</w:t>
      </w:r>
    </w:p>
    <w:p>
      <w:r>
        <w:t>author confidence. Six of the beds' λ₀ values were revised downward accordingly.</w:t>
      </w:r>
    </w:p>
    <w:p>
      <w:pPr>
        <w:pStyle w:val="Heading2"/>
      </w:pPr>
      <w:r>
        <w:t>3.4 What we take from it</w:t>
      </w:r>
    </w:p>
    <w:p>
      <w:r>
        <w:t>The audit is, we think, the most transferable part of this paper. Device-outcome</w:t>
      </w:r>
    </w:p>
    <w:p>
      <w:r>
        <w:t>numbers are quoted across the interventional literature without their endpoint</w:t>
      </w:r>
    </w:p>
    <w:p>
      <w:r>
        <w:t>construct attached, and once detached they are freely substitutable for each other by</w:t>
      </w:r>
    </w:p>
    <w:p>
      <w:r>
        <w:t>a reader acting in good faith. The five substitutions above were each internally</w:t>
      </w:r>
    </w:p>
    <w:p>
      <w:r>
        <w:t>reasonable. The defence is not more care; it is carrying the construct, trigger,</w:t>
      </w:r>
    </w:p>
    <w:p>
      <w:r>
        <w:t>adjudication, unit and window next to every number, so that a mismatch is visible</w:t>
      </w:r>
    </w:p>
    <w:p>
      <w:r>
        <w:t>rather than invisible. Any comparative model built on pooled device outcomes — not</w:t>
      </w:r>
    </w:p>
    <w:p>
      <w:r>
        <w:t>only this one — should be expected to show the provenance fields, and should be</w:t>
      </w:r>
    </w:p>
    <w:p>
      <w:r>
        <w:t>assumed to have this problem until it does.</w:t>
      </w:r>
    </w:p>
    <w:p>
      <w:pPr>
        <w:pStyle w:val="Heading1"/>
      </w:pPr>
      <w:r>
        <w:t>4. Calibration</w:t>
      </w:r>
    </w:p>
    <w:p>
      <w:r>
        <w:t>Eleven of the thirteen free constants were fitted to the 12 retained anchors</w:t>
      </w:r>
    </w:p>
    <w:p>
      <w:r>
        <w:t>by least squares on log-odds, weighted by audited evidence quality. One shared</w:t>
      </w:r>
    </w:p>
    <w:p>
      <w:r>
        <w:t>parameter set; no per-bed tuning.</w:t>
      </w:r>
    </w:p>
    <w:p>
      <w:r>
        <w:rPr>
          <w:b/>
        </w:rPr>
        <w:t>Mean absolute error 1.4 percentage points</w:t>
      </w:r>
      <w:r>
        <w:t>, worst residual 4.3 points on</w:t>
      </w:r>
    </w:p>
    <w:p>
      <w:r>
        <w:t>BTK-POBA (Figure 2).</w:t>
      </w:r>
    </w:p>
    <w:p>
      <w:r>
        <w:t>What that number is not. Carotid, iliac and renal contribute exactly one anchor each,</w:t>
      </w:r>
    </w:p>
    <w:p>
      <w:r>
        <w:t>which is also that bed's λ₀, so those three beds are fitted trivially and constrain</w:t>
      </w:r>
    </w:p>
    <w:p>
      <w:r>
        <w:t>nothing about the operator's shape. Four of the retained anchors are two arms each of</w:t>
      </w:r>
    </w:p>
    <w:p>
      <w:r>
        <w:t>two trials (IN.PACT SFA, IN.PACT DEEP), both Medtronic paclitaxel DCB randomised</w:t>
      </w:r>
    </w:p>
    <w:p>
      <w:r>
        <w:t>trials sharing sites, adjudication committee and CD-TLR trigger definition, so their</w:t>
      </w:r>
    </w:p>
    <w:p>
      <w:r>
        <w:t>errors are correlated and they are not four independent residuals. The fit is really</w:t>
      </w:r>
    </w:p>
    <w:p>
      <w:r>
        <w:t>driven by about seven informative comparisons — against eleven free constants. **An MAE</w:t>
      </w:r>
    </w:p>
    <w:p>
      <w:r>
        <w:t>of 1.4 points is therefore not evidence that the operator is right.** With more free</w:t>
      </w:r>
    </w:p>
    <w:p>
      <w:r>
        <w:t>parameters than informative constraints, a low residual is what one should expect, and</w:t>
      </w:r>
    </w:p>
    <w:p>
      <w:r>
        <w:t>we report it as a consistency check rather than as performance.</w:t>
      </w:r>
    </w:p>
    <w:p>
      <w:r>
        <w:rPr>
          <w:b/>
        </w:rPr>
        <w:t>Seven of the eleven fitted constants sit on their bounds</w:t>
      </w:r>
      <w:r>
        <w:t>, which is the clearest</w:t>
      </w:r>
    </w:p>
    <w:p>
      <w:r>
        <w:t>signal in the fit and points at the model rather than at the data. Two of the seven</w:t>
      </w:r>
    </w:p>
    <w:p>
      <w:r>
        <w:t>matter more than the rest: the compliance-mismatch kernel and the overstretch-stress</w:t>
      </w:r>
    </w:p>
    <w:p>
      <w:r>
        <w:t>kernel both collapse to their floors. In plain terms, **once the anchors are corrected,</w:t>
      </w:r>
    </w:p>
    <w:p>
      <w:r>
        <w:t>the fit no longer needs the mechanical axis at all.** The retained anchors are explained</w:t>
      </w:r>
    </w:p>
    <w:p>
      <w:r>
        <w:t>almost entirely by Γ_H (lumen restored, strut burden) and Γ_B (antiproliferative supply</w:t>
      </w:r>
    </w:p>
    <w:p>
      <w:r>
        <w:t>against drive); the weakest axis is Γ_H for ten of the twelve anchors and Γ_B for the</w:t>
      </w:r>
    </w:p>
    <w:p>
      <w:r>
        <w:t>other two, and Γ_M is never binding.</w:t>
      </w:r>
    </w:p>
    <w:p>
      <w:r>
        <w:t>We take that seriously rather than tuning around it. Two readings are available and the</w:t>
      </w:r>
    </w:p>
    <w:p>
      <w:r>
        <w:t>data here cannot separate them. Either the mechanical axis is not doing real work and</w:t>
      </w:r>
    </w:p>
    <w:p>
      <w:r>
        <w:t>the operator should be three axes, or — the reading we find more likely and which the</w:t>
      </w:r>
    </w:p>
    <w:p>
      <w:r>
        <w:t>falsification plan in §7 is designed to test — a 12-month revascularisation endpoint has</w:t>
      </w:r>
    </w:p>
    <w:p>
      <w:r>
        <w:t>no power to identify it. Compliance mismatch, fatigue and resorption are all</w:t>
      </w:r>
    </w:p>
    <w:p>
      <w:r>
        <w:t>slow-acting: fatigue accrues across the first year, a poly-L-lactide scaffold's</w:t>
      </w:r>
    </w:p>
    <w:p>
      <w:r>
        <w:t>compliance converges on the wall's only over two to three years. An axis whose</w:t>
      </w:r>
    </w:p>
    <w:p>
      <w:r>
        <w:t>predictions live in years 2 to 5 cannot be identified from year-one revascularisation,</w:t>
      </w:r>
    </w:p>
    <w:p>
      <w:r>
        <w:t>and a fit that switches it off is behaving correctly given what it was shown. Either way,</w:t>
      </w:r>
    </w:p>
    <w:p>
      <w:r>
        <w:t>the four-axis structure should not be presented as established by this calibration.</w:t>
      </w:r>
    </w:p>
    <w:p>
      <w:r>
        <w:t>Within a bed, the device-versus-balloon contrast is same-trial and self-consistent.</w:t>
      </w:r>
    </w:p>
    <w:p>
      <w:r>
        <w:t>Across beds it is not: coronary POBA is 1991–93, symptom-driven, without routine</w:t>
      </w:r>
    </w:p>
    <w:p>
      <w:r>
        <w:t>surveillance, while femoropopliteal POBA is 2015 with committee-adjudicated CD-TLR.</w:t>
      </w:r>
    </w:p>
    <w:p>
      <w:r>
        <w:t>Any bed gradient the model learns carries 22 years of era effect and a change of</w:t>
      </w:r>
    </w:p>
    <w:p>
      <w:r>
        <w:t>endpoint definition inside it. We report this rather than adjusting for it, because</w:t>
      </w:r>
    </w:p>
    <w:p>
      <w:r>
        <w:t>we do not know how to adjust for it honestly.</w:t>
      </w:r>
    </w:p>
    <w:p>
      <w:pPr>
        <w:pStyle w:val="Heading1"/>
      </w:pPr>
      <w:r>
        <w:t>5. In-silico evaluation</w:t>
      </w:r>
    </w:p>
    <w:p>
      <w:pPr>
        <w:pStyle w:val="Heading2"/>
      </w:pPr>
      <w:r>
        <w:t>5.1 What this section can and cannot show</w:t>
      </w:r>
    </w:p>
    <w:p>
      <w:r>
        <w:t>Outcomes here are generated by the same operator that one of the candidate</w:t>
      </w:r>
    </w:p>
    <w:p>
      <w:r>
        <w:t>representations consumes. No experiment in this section can show that Γ_sc is true of</w:t>
      </w:r>
    </w:p>
    <w:p>
      <w:r>
        <w:t xml:space="preserve">patients. It can show a property of the </w:t>
      </w:r>
      <w:r>
        <w:rPr>
          <w:i/>
        </w:rPr>
        <w:t>representation</w:t>
      </w:r>
      <w:r>
        <w:t>: whether a</w:t>
      </w:r>
    </w:p>
    <w:p>
      <w:r>
        <w:t>physics-parameterised summary behaves differently from raw features when both are</w:t>
      </w:r>
    </w:p>
    <w:p>
      <w:r>
        <w:t>given the same information, seen through realistic measurement error, with an</w:t>
      </w:r>
    </w:p>
    <w:p>
      <w:r>
        <w:t>unobserved patient-level frailty term neither can access.</w:t>
      </w:r>
    </w:p>
    <w:p>
      <w:pPr>
        <w:pStyle w:val="Heading2"/>
      </w:pPr>
      <w:r>
        <w:t>5.2 Design</w:t>
      </w:r>
    </w:p>
    <w:p>
      <w:r>
        <w:t>9,000 procedures were sampled across six beds with deliberately varied plans spanning</w:t>
      </w:r>
    </w:p>
    <w:p>
      <w:r>
        <w:t>good and bad matches. True 12-month risk was computed, scaled by a log-normal frailty</w:t>
      </w:r>
    </w:p>
    <w:p>
      <w:r>
        <w:t>multiplier (σ = 0.55) appearing in no feature set, and an event drawn. Features were</w:t>
      </w:r>
    </w:p>
    <w:p>
      <w:r>
        <w:t xml:space="preserve">then </w:t>
      </w:r>
      <w:r>
        <w:rPr>
          <w:i/>
        </w:rPr>
        <w:t>re-measured</w:t>
      </w:r>
      <w:r>
        <w:t>: diameters with 0.16–0.35 mm of Gaussian error, length with 12%</w:t>
      </w:r>
    </w:p>
    <w:p>
      <w:r>
        <w:t>proportional error, calcium and tortuosity coarsened to the grades actually recorded</w:t>
      </w:r>
    </w:p>
    <w:p>
      <w:r>
        <w:t>in practice. Candidates saw only the re-measured lesion, so the operator arm had to</w:t>
      </w:r>
    </w:p>
    <w:p>
      <w:r>
        <w:t>recompute Γ_sc from noisy inputs.</w:t>
      </w:r>
    </w:p>
    <w:p>
      <w:r>
        <w:t>Four representations of the same information: (A) 55 raw lesion and device features</w:t>
      </w:r>
    </w:p>
    <w:p>
      <w:r>
        <w:t>with bed as a one-hot category, gradient-boosted trees; (A′) the same with bed as six</w:t>
      </w:r>
    </w:p>
    <w:p>
      <w:r>
        <w:t>continuous physiological parameters, trees; (A″) the same continuous features under a</w:t>
      </w:r>
    </w:p>
    <w:p>
      <w:r>
        <w:t>linear model, which can extrapolate along them; and (B) the four numbers the operator</w:t>
      </w:r>
    </w:p>
    <w:p>
      <w:r>
        <w:t>produces — year-one mean Γ_sc, mismatch dose, τ_sc and log λ₀ — under a linear model.</w:t>
      </w:r>
    </w:p>
    <w:p>
      <w:pPr>
        <w:pStyle w:val="Heading2"/>
      </w:pPr>
      <w:r>
        <w:t>5.3 Results</w:t>
      </w:r>
    </w:p>
    <w:p>
      <w:r>
        <w:rPr>
          <w:b/>
        </w:rPr>
        <w:t>Sample efficiency (Figure 3a).</w:t>
      </w:r>
      <w:r>
        <w:t xml:space="preserve"> Within the coronary bed the operator's four numbers</w:t>
      </w:r>
    </w:p>
    <w:p>
      <w:r>
        <w:t>reached AUC 0.790 at n = 100 and were flat thereafter</w:t>
      </w:r>
    </w:p>
    <w:p>
      <w:r>
        <w:t>(0.797 at n = 800). Raw features under a linear model were at</w:t>
      </w:r>
    </w:p>
    <w:p>
      <w:r>
        <w:t>0.596 at n = 100 and had still not caught up at n = 800</w:t>
      </w:r>
    </w:p>
    <w:p>
      <w:r>
        <w:t>(0.778); under trees they were lower and unstable</w:t>
      </w:r>
    </w:p>
    <w:p>
      <w:r>
        <w:t>(0.600 at n = 100, 0.699 at n = 800).</w:t>
      </w:r>
    </w:p>
    <w:p>
      <w:r>
        <w:t>For single-centre cohorts, where the number of procedures is the binding constraint,</w:t>
      </w:r>
    </w:p>
    <w:p>
      <w:r>
        <w:t>this is the operator's only demonstrated practical advantage — and it is the one that</w:t>
      </w:r>
    </w:p>
    <w:p>
      <w:r>
        <w:t>survived the recalibration, in a sharper form.</w:t>
      </w:r>
    </w:p>
    <w:p>
      <w:r>
        <w:t>**Cross-bed transfer: the claim failed, and after the refit it failed clearly</w:t>
      </w:r>
    </w:p>
    <w:p>
      <w:r>
        <w:t>(Figure 3b).** Training on coronary and carotid and testing on femoropopliteal,</w:t>
      </w:r>
    </w:p>
    <w:p>
      <w:r>
        <w:t>below-the-knee, renal and iliac, the operator reached AUC 0.610</w:t>
      </w:r>
    </w:p>
    <w:p>
      <w:r>
        <w:t>against 0.635 for raw features plus continuous bed physiology</w:t>
      </w:r>
    </w:p>
    <w:p>
      <w:r>
        <w:t>under a linear model — a difference of **-0.024 (95% bootstrap -0.041 to</w:t>
      </w:r>
    </w:p>
    <w:p>
      <w:r>
        <w:t>-0.010)**. On the uncorrected anchor set this difference was −0.014 with a confidence</w:t>
      </w:r>
    </w:p>
    <w:p>
      <w:r>
        <w:t>interval spanning zero; on the corrected one **the interval excludes zero and the</w:t>
      </w:r>
    </w:p>
    <w:p>
      <w:r>
        <w:t>operator is worse.** The apparent advantage over tree models</w:t>
      </w:r>
    </w:p>
    <w:p>
      <w:r>
        <w:t>(0.571) was never the operator: it was that a linear model</w:t>
      </w:r>
    </w:p>
    <w:p>
      <w:r>
        <w:t>extrapolates along a continuous bed parameter and a tree, which can only interpolate</w:t>
      </w:r>
    </w:p>
    <w:p>
      <w:r>
        <w:t>between values it has seen, cannot. Representations (A) and (A′) were numerically</w:t>
      </w:r>
    </w:p>
    <w:p>
      <w:r>
        <w:t>identical, for the same reason.</w:t>
      </w:r>
    </w:p>
    <w:p>
      <w:r>
        <w:rPr>
          <w:b/>
        </w:rPr>
        <w:t>Level does not transfer, ordering does.</w:t>
      </w:r>
      <w:r>
        <w:t xml:space="preserve"> The operator's raw cross-bed Brier score</w:t>
      </w:r>
    </w:p>
    <w:p>
      <w:r>
        <w:t>was 0.249, worse than predicting the base rate (0.135). A</w:t>
      </w:r>
    </w:p>
    <w:p>
      <w:r>
        <w:t>single intercept recalibration brought every arm to ≈0.132. Across beds the operator</w:t>
      </w:r>
    </w:p>
    <w:p>
      <w:r>
        <w:t>supplies a ranking, and not a good one; absolute risk requires bed-level</w:t>
      </w:r>
    </w:p>
    <w:p>
      <w:r>
        <w:t>recalibration.</w:t>
      </w:r>
    </w:p>
    <w:p>
      <w:pPr>
        <w:pStyle w:val="Heading1"/>
      </w:pPr>
      <w:r>
        <w:t>6. A harness that improves without retraining the operator</w:t>
      </w:r>
    </w:p>
    <w:p>
      <w:r>
        <w:t>Device selection needs a policy deciding how the operator is used — the sizing rule,</w:t>
      </w:r>
    </w:p>
    <w:p>
      <w:r>
        <w:t>when to prepare calcium, when to demand an antiproliferative device. Following the</w:t>
      </w:r>
    </w:p>
    <w:p>
      <w:r>
        <w:t>separation used in recent interactive scientific agents [1], we hold that policy as</w:t>
      </w:r>
    </w:p>
    <w:p>
      <w:r>
        <w:t>data rather than code, score candidate plans against a fixed rubric composer, and</w:t>
      </w:r>
    </w:p>
    <w:p>
      <w:r>
        <w:t>improve the policy with the operator's constants frozen. Across 60 development tasks</w:t>
      </w:r>
    </w:p>
    <w:p>
      <w:r>
        <w:t>with 120 held out, the held-out rubric score rose from 0.749 to 0.948 with no</w:t>
      </w:r>
    </w:p>
    <w:p>
      <w:r>
        <w:t>change to the operator; two edits accounted for almost all of it. One negative finding is</w:t>
      </w:r>
    </w:p>
    <w:p>
      <w:r>
        <w:t xml:space="preserve">worth recording: a diagnoser restricted to </w:t>
      </w:r>
      <w:r>
        <w:rPr>
          <w:i/>
        </w:rPr>
        <w:t>atomic</w:t>
      </w:r>
      <w:r>
        <w:t xml:space="preserve"> edits stalls immediately, because</w:t>
      </w:r>
    </w:p>
    <w:p>
      <w:r>
        <w:t>enabling a skill whose threshold still excludes every case and moving a threshold for</w:t>
      </w:r>
    </w:p>
    <w:p>
      <w:r>
        <w:t>a skill that is off are both no-ops. Edits have to be compound to be testable.</w:t>
      </w:r>
    </w:p>
    <w:p>
      <w:pPr>
        <w:pStyle w:val="Heading1"/>
      </w:pPr>
      <w:r>
        <w:t>7. Preregistered falsification plan</w:t>
      </w:r>
    </w:p>
    <w:p>
      <w:r>
        <w:t>Stated before any patient data are analysed:</w:t>
      </w:r>
    </w:p>
    <w:p>
      <w:pPr>
        <w:pStyle w:val="ListNumber"/>
      </w:pPr>
      <w:r>
        <w:rPr>
          <w:b/>
        </w:rPr>
        <w:t>The operator must beat a raw-feature floor.</w:t>
      </w:r>
      <w:r>
        <w:t xml:space="preserve"> Refit by maximum likelihood on a</w:t>
      </w:r>
    </w:p>
    <w:p>
      <w:r>
        <w:t xml:space="preserve">   real cohort, it must exceed a logistic model on the same raw features in</w:t>
      </w:r>
    </w:p>
    <w:p>
      <w:r>
        <w:t xml:space="preserve">   out-of-fold AUC. If it does not, it adds nothing and we will say so.</w:t>
      </w:r>
    </w:p>
    <w:p>
      <w:pPr>
        <w:pStyle w:val="ListNumber"/>
      </w:pPr>
      <w:r>
        <w:rPr>
          <w:b/>
        </w:rPr>
        <w:t>τ_sc must carry information Γ_sc(0) does not.</w:t>
      </w:r>
      <w:r>
        <w:t xml:space="preserve"> Adding τ_sc to a model containing</w:t>
      </w:r>
    </w:p>
    <w:p>
      <w:r>
        <w:t xml:space="preserve">   Γ_sc(0) must improve out-of-fold discrimination.</w:t>
      </w:r>
    </w:p>
    <w:p>
      <w:pPr>
        <w:pStyle w:val="ListNumber"/>
      </w:pPr>
      <w:r>
        <w:rPr>
          <w:b/>
        </w:rPr>
        <w:t>The resorption term makes a dated prediction.</w:t>
      </w:r>
      <w:r>
        <w:t xml:space="preserve"> Γ_M for a poly-L-lactide scaffold</w:t>
      </w:r>
    </w:p>
    <w:p>
      <w:r>
        <w:t xml:space="preserve">   converges on the wall's compliance with the degradation constant, so any advantage</w:t>
      </w:r>
    </w:p>
    <w:p>
      <w:r>
        <w:t xml:space="preserve">   attributable to that axis must appear only after roughly twice the degradation time</w:t>
      </w:r>
    </w:p>
    <w:p>
      <w:r>
        <w:t xml:space="preserve">   constant — years 2 to 5, not year 1. An advantage appearing in year 1, or none by</w:t>
      </w:r>
    </w:p>
    <w:p>
      <w:r>
        <w:t xml:space="preserve">   year 5, falsifies the term.</w:t>
      </w:r>
    </w:p>
    <w:p>
      <w:pPr>
        <w:pStyle w:val="ListNumber"/>
      </w:pPr>
      <w:r>
        <w:rPr>
          <w:b/>
        </w:rPr>
        <w:t>Sample efficiency must replicate</w:t>
      </w:r>
      <w:r>
        <w:t xml:space="preserve"> in real data at n ≈ 100–200 procedures, or the</w:t>
      </w:r>
    </w:p>
    <w:p>
      <w:r>
        <w:t xml:space="preserve">   §5.3 result is an artefact of the simulator.</w:t>
      </w:r>
    </w:p>
    <w:p>
      <w:pPr>
        <w:pStyle w:val="ListNumber"/>
      </w:pPr>
      <w:r>
        <w:rPr>
          <w:b/>
        </w:rPr>
        <w:t>The cross-bed null must be retested, not quietly dropped</w:t>
      </w:r>
      <w:r>
        <w:t>, against continuous bed</w:t>
      </w:r>
    </w:p>
    <w:p>
      <w:r>
        <w:t xml:space="preserve">   physiology under a model class that can extrapolate.</w:t>
      </w:r>
    </w:p>
    <w:p>
      <w:pPr>
        <w:pStyle w:val="ListNumber"/>
      </w:pPr>
      <w:r>
        <w:rPr>
          <w:b/>
        </w:rPr>
        <w:t>The endpoint must be fixed in advance</w:t>
      </w:r>
      <w:r>
        <w:t xml:space="preserve"> — one construct, one trigger, one</w:t>
      </w:r>
    </w:p>
    <w:p>
      <w:r>
        <w:t xml:space="preserve">   adjudication standard, one analysis unit, one window — and any anchor that cannot</w:t>
      </w:r>
    </w:p>
    <w:p>
      <w:r>
        <w:t xml:space="preserve">   supply it must be excluded rather than converted.</w:t>
      </w:r>
    </w:p>
    <w:p>
      <w:pPr>
        <w:pStyle w:val="Heading1"/>
      </w:pPr>
      <w:r>
        <w:t>8. Limitations</w:t>
      </w:r>
    </w:p>
    <w:p>
      <w:pPr>
        <w:pStyle w:val="ListBullet"/>
      </w:pPr>
      <w:r>
        <w:rPr>
          <w:b/>
        </w:rPr>
        <w:t>No patient-level data.</w:t>
      </w:r>
      <w:r>
        <w:t xml:space="preserve"> Nothing here has seen a patient.</w:t>
      </w:r>
    </w:p>
    <w:p>
      <w:pPr>
        <w:pStyle w:val="ListBullet"/>
      </w:pPr>
      <w:r>
        <w:rPr>
          <w:b/>
        </w:rPr>
        <w:t>The calibration rests on about seven informative comparisons</w:t>
      </w:r>
      <w:r>
        <w:t>, three beds are</w:t>
      </w:r>
    </w:p>
    <w:p>
      <w:r>
        <w:t xml:space="preserve">  fitted trivially, and four anchors are two arms of two trials.</w:t>
      </w:r>
    </w:p>
    <w:p>
      <w:pPr>
        <w:pStyle w:val="ListBullet"/>
      </w:pPr>
      <w:r>
        <w:rPr>
          <w:b/>
        </w:rPr>
        <w:t>Three revascularisation constructs remain mixed</w:t>
      </w:r>
      <w:r>
        <w:t xml:space="preserve"> in the retained set (CD-TLR,</w:t>
      </w:r>
    </w:p>
    <w:p>
      <w:r>
        <w:t xml:space="preserve">  all-cause TLR, symptom-driven TLR). They are labelled and weighted, not unified.</w:t>
      </w:r>
    </w:p>
    <w:p>
      <w:r>
        <w:t xml:space="preserve">  Symptom-driven TLR without routine angiography biases low; surveillance-triggered</w:t>
      </w:r>
    </w:p>
    <w:p>
      <w:r>
        <w:t xml:space="preserve">  TLR biases high; these are opposite biases and cannot be interchanged.</w:t>
      </w:r>
    </w:p>
    <w:p>
      <w:pPr>
        <w:pStyle w:val="ListBullet"/>
      </w:pPr>
      <w:r>
        <w:rPr>
          <w:b/>
        </w:rPr>
        <w:t>No cost, complication, procedure-time or contrast term.</w:t>
      </w:r>
      <w:r>
        <w:t xml:space="preserve"> The operator will</w:t>
      </w:r>
    </w:p>
    <w:p>
      <w:r>
        <w:t xml:space="preserve">  therefore recommend maximal lesion preparation almost every time. That is a gap in</w:t>
      </w:r>
    </w:p>
    <w:p>
      <w:r>
        <w:t xml:space="preserve">  the model and must not be read as a procedural recommendation.</w:t>
      </w:r>
    </w:p>
    <w:p>
      <w:pPr>
        <w:pStyle w:val="ListBullet"/>
      </w:pPr>
      <w:r>
        <w:rPr>
          <w:b/>
        </w:rPr>
        <w:t>Device entries are representative class parameters</w:t>
      </w:r>
      <w:r>
        <w:t>, not commercial</w:t>
      </w:r>
    </w:p>
    <w:p>
      <w:r>
        <w:t xml:space="preserve">  specifications; radial force, device compliance and fatigue resistance are</w:t>
      </w:r>
    </w:p>
    <w:p>
      <w:r>
        <w:t xml:space="preserve">  order-of-magnitude estimates.</w:t>
      </w:r>
    </w:p>
    <w:p>
      <w:pPr>
        <w:pStyle w:val="ListBullet"/>
      </w:pPr>
      <w:r>
        <w:rPr>
          <w:b/>
        </w:rPr>
        <w:t>Bed parameters are declared priors, not measurements.</w:t>
      </w:r>
    </w:p>
    <w:p>
      <w:pPr>
        <w:pStyle w:val="ListBullet"/>
      </w:pPr>
      <w:r>
        <w:t>**Seven of eleven constants are on their bounds, and the mechanical axis is switched</w:t>
      </w:r>
    </w:p>
    <w:p>
      <w:r>
        <w:t xml:space="preserve">  off by the fit.** The four-axis structure is not established by this calibration.</w:t>
      </w:r>
    </w:p>
    <w:p>
      <w:pPr>
        <w:pStyle w:val="ListBullet"/>
      </w:pPr>
      <w:r>
        <w:rPr>
          <w:b/>
        </w:rPr>
        <w:t>Correlated penalties compound.</w:t>
      </w:r>
      <w:r>
        <w:t xml:space="preserve"> A badly oversized device is charged on both the</w:t>
      </w:r>
    </w:p>
    <w:p>
      <w:r>
        <w:t xml:space="preserve">  geometric and mechanical axes; intentional, but the axes are not independent.</w:t>
      </w:r>
    </w:p>
    <w:p>
      <w:pPr>
        <w:pStyle w:val="ListBullet"/>
      </w:pPr>
      <w:r>
        <w:rPr>
          <w:b/>
        </w:rPr>
        <w:t>The carotid anchor is 0.6%</w:t>
      </w:r>
      <w:r>
        <w:t>, indistinguishable from zero on a CD-TLR scale. That</w:t>
      </w:r>
    </w:p>
    <w:p>
      <w:r>
        <w:t xml:space="preserve">  bed's informative endpoint is duplex restenosis, which is not in the retained</w:t>
      </w:r>
    </w:p>
    <w:p>
      <w:r>
        <w:t xml:space="preserve">  construct, so the carotid bed may simply not be calibratable here.</w:t>
      </w:r>
    </w:p>
    <w:p>
      <w:pPr>
        <w:pStyle w:val="ListBullet"/>
      </w:pPr>
      <w:r>
        <w:rPr>
          <w:b/>
        </w:rPr>
        <w:t>Not a clinical decision tool</w:t>
      </w:r>
      <w:r>
        <w:t xml:space="preserve"> and must not be used as one.</w:t>
      </w:r>
    </w:p>
    <w:p>
      <w:pPr>
        <w:pStyle w:val="Heading1"/>
      </w:pPr>
      <w:r>
        <w:t>9. Data and code availability</w:t>
      </w:r>
    </w:p>
    <w:p>
      <w:r>
        <w:t>The implementation, the anchor set with every provenance field and the full audit</w:t>
      </w:r>
    </w:p>
    <w:p>
      <w:r>
        <w:t>record, the fitted constants, and the scripts that reproduce every number and figure</w:t>
      </w:r>
    </w:p>
    <w:p>
      <w:r>
        <w:t>are released with the paper. An interactive workbench running the operator entirely in</w:t>
      </w:r>
    </w:p>
    <w:p>
      <w:r>
        <w:t>the browser is at https://lingsenyou.com/suitcordance/.</w:t>
      </w:r>
    </w:p>
    <w:p>
      <w:pPr>
        <w:ind w:left="432"/>
      </w:pPr>
      <w:r>
        <w:rPr>
          <w:b/>
          <w:color w:val="A8332A"/>
          <w:sz w:val="19"/>
        </w:rPr>
        <w:t>BEFORE POSTING:</w:t>
      </w:r>
      <w:r>
        <w:rPr>
          <w:color w:val="A8332A"/>
          <w:sz w:val="19"/>
        </w:rPr>
        <w:t xml:space="preserve"> deposit the code and replace this with the Zenodo concept DOI.</w:t>
      </w:r>
    </w:p>
    <w:p>
      <w:pPr>
        <w:pStyle w:val="Heading1"/>
      </w:pPr>
      <w:r>
        <w:t>10. Declarations</w:t>
      </w:r>
    </w:p>
    <w:p>
      <w:r>
        <w:rPr>
          <w:b/>
        </w:rPr>
        <w:t>Funding.</w:t>
      </w:r>
      <w:r>
        <w:t xml:space="preserve"> </w:t>
      </w:r>
      <w:r>
        <w:rPr>
          <w:i/>
        </w:rPr>
        <w:t>To be completed.</w:t>
      </w:r>
    </w:p>
    <w:p>
      <w:r>
        <w:rPr>
          <w:b/>
        </w:rPr>
        <w:t>Competing interests.</w:t>
      </w:r>
      <w:r>
        <w:t xml:space="preserve"> *To be declared — including any relationship with</w:t>
      </w:r>
    </w:p>
    <w:p>
      <w:r>
        <w:t>manufacturers of the device classes modelled here.*</w:t>
      </w:r>
    </w:p>
    <w:p>
      <w:r>
        <w:rPr>
          <w:b/>
        </w:rPr>
        <w:t>Ethics.</w:t>
      </w:r>
      <w:r>
        <w:t xml:space="preserve"> No human subjects or patient data were involved.</w:t>
      </w:r>
    </w:p>
    <w:p>
      <w:r>
        <w:rPr>
          <w:b/>
        </w:rPr>
        <w:t>Author contributions.</w:t>
      </w:r>
      <w:r>
        <w:t xml:space="preserve"> </w:t>
      </w:r>
      <w:r>
        <w:rPr>
          <w:i/>
        </w:rPr>
        <w:t>To be completed once the author list is settled.</w:t>
      </w:r>
    </w:p>
    <w:p>
      <w:pPr>
        <w:pStyle w:val="Heading1"/>
      </w:pPr>
      <w:r>
        <w:t>References</w:t>
      </w:r>
    </w:p>
    <w:p>
      <w:pPr>
        <w:ind w:left="432"/>
      </w:pPr>
      <w:r>
        <w:rPr>
          <w:color w:val="A8332A"/>
          <w:sz w:val="19"/>
        </w:rPr>
        <w:t>Primary citations for every retained and excluded anchor are carried in Table 1 with</w:t>
      </w:r>
    </w:p>
    <w:p>
      <w:pPr>
        <w:ind w:left="432"/>
      </w:pPr>
      <w:r>
        <w:rPr>
          <w:color w:val="A8332A"/>
          <w:sz w:val="19"/>
        </w:rPr>
        <w:t>their DOIs, all verified against the source during the audit in §3. The list below is</w:t>
      </w:r>
    </w:p>
    <w:p>
      <w:pPr>
        <w:ind w:left="432"/>
      </w:pPr>
      <w:r>
        <w:rPr>
          <w:color w:val="A8332A"/>
          <w:sz w:val="19"/>
        </w:rPr>
        <w:t>the non-anchor references.</w:t>
      </w:r>
    </w:p>
    <w:p>
      <w:pPr>
        <w:pStyle w:val="ListNumber"/>
      </w:pPr>
      <w:r>
        <w:t>Xue S, Zhong J, Nan Z, et al. ScienceBuddy: recursive-in-recursive self-improvement</w:t>
      </w:r>
    </w:p>
    <w:p>
      <w:r>
        <w:t xml:space="preserve">   for interactive scientific agents. </w:t>
      </w:r>
      <w:r>
        <w:rPr>
          <w:i/>
        </w:rPr>
        <w:t>arXiv</w:t>
      </w:r>
      <w:r>
        <w:t>:2609.17523. 2026.</w:t>
      </w:r>
    </w:p>
    <w:p>
      <w:pPr>
        <w:pStyle w:val="Heading1"/>
      </w:pPr>
      <w:r>
        <w:t>Figure and table legends</w:t>
      </w:r>
    </w:p>
    <w:p>
      <w:r>
        <w:rPr>
          <w:b/>
        </w:rPr>
        <w:t>Figure 1. The operator, on one coronary lesion.</w:t>
      </w:r>
      <w:r>
        <w:t xml:space="preserve"> A 3.05 mm reference vessel, 22 mm</w:t>
      </w:r>
    </w:p>
    <w:p>
      <w:r>
        <w:t xml:space="preserve">lesion, moderate calcium, diabetes. </w:t>
      </w:r>
      <w:r>
        <w:rPr>
          <w:b/>
        </w:rPr>
        <w:t>(a)</w:t>
      </w:r>
      <w:r>
        <w:t xml:space="preserve"> The four agreement axes and their weighted</w:t>
      </w:r>
    </w:p>
    <w:p>
      <w:r>
        <w:t>geometric mean for an ultrathin drug-eluting stent; the dashed line marks τ_sc.</w:t>
      </w:r>
    </w:p>
    <w:p>
      <w:r>
        <w:rPr>
          <w:b/>
        </w:rPr>
        <w:t>(b)</w:t>
      </w:r>
      <w:r>
        <w:t xml:space="preserve"> Γ_sc for four strategies in the same lesion, each labelled with its own τ_sc.</w:t>
      </w:r>
    </w:p>
    <w:p>
      <w:r>
        <w:rPr>
          <w:b/>
        </w:rPr>
        <w:t>Figure 2. Calibration against the audited anchor set.</w:t>
      </w:r>
      <w:r>
        <w:t xml:space="preserve"> One shared parameter set</w:t>
      </w:r>
    </w:p>
    <w:p>
      <w:r>
        <w:t>across six arterial beds. Filled markers are the anchors in the fit, area proportional</w:t>
      </w:r>
    </w:p>
    <w:p>
      <w:r>
        <w:t>to audited trust weight; hollow markers are the four excluded anchors, plotted at the</w:t>
      </w:r>
    </w:p>
    <w:p>
      <w:r>
        <w:t>corrected value. Solid line identity, dashed lines 1.5-fold.</w:t>
      </w:r>
    </w:p>
    <w:p>
      <w:r>
        <w:rPr>
          <w:b/>
        </w:rPr>
        <w:t>Figure 3. In-silico evaluation.</w:t>
      </w:r>
      <w:r>
        <w:t xml:space="preserve"> </w:t>
      </w:r>
      <w:r>
        <w:rPr>
          <w:b/>
        </w:rPr>
        <w:t>(a)</w:t>
      </w:r>
      <w:r>
        <w:t xml:space="preserve"> Sample efficiency within the coronary bed,</w:t>
      </w:r>
    </w:p>
    <w:p>
      <w:r>
        <w:t xml:space="preserve">held-out n = 400. </w:t>
      </w:r>
      <w:r>
        <w:rPr>
          <w:b/>
        </w:rPr>
        <w:t>(b)</w:t>
      </w:r>
      <w:r>
        <w:t xml:space="preserve"> Cross-bed transfer, training on coronary and carotid, testing</w:t>
      </w:r>
    </w:p>
    <w:p>
      <w:r>
        <w:t>on four held-out beds. The operator does not beat raw features plus continuous bed</w:t>
      </w:r>
    </w:p>
    <w:p>
      <w:r>
        <w:t>physiology under a model class that can extrapolate.</w:t>
      </w:r>
    </w:p>
    <w:p>
      <w:r>
        <w:rPr>
          <w:b/>
        </w:rPr>
        <w:t>Table 1. The anchor set, with provenance.</w:t>
      </w:r>
      <w:r>
        <w:t xml:space="preserve"> Every anchor with its bed, device class,</w:t>
      </w:r>
    </w:p>
    <w:p>
      <w:r>
        <w:t>value, audited trust weight, endpoint construct, trigger, adjudication, estimator,</w:t>
      </w:r>
    </w:p>
    <w:p>
      <w:r>
        <w:t>analysis unit, actual time window and design, the primary citation with DOI, and a note</w:t>
      </w:r>
    </w:p>
    <w:p>
      <w:r>
        <w:t>recording what the first version of the anchor asserted and why it changed. Excluded</w:t>
      </w:r>
    </w:p>
    <w:p>
      <w:r>
        <w:t>anchors are marked.</w:t>
      </w:r>
    </w:p>
    <w:p>
      <w:r>
        <w:br w:type="page"/>
      </w:r>
    </w:p>
    <w:p>
      <w:pPr>
        <w:pStyle w:val="Heading1"/>
      </w:pPr>
      <w:r>
        <w:t>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192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rajector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92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See legend in the text.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566160" cy="3226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alib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3226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See legend in the text.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8787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im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87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See legend in the text.</w:t>
      </w:r>
    </w:p>
    <w:p>
      <w:r>
        <w:br w:type="page"/>
      </w:r>
    </w:p>
    <w:p>
      <w:pPr>
        <w:pStyle w:val="Heading1"/>
      </w:pPr>
      <w:r>
        <w:t>Table 1</w:t>
      </w:r>
    </w:p>
    <w:p>
      <w:r>
        <w:rPr>
          <w:b/>
        </w:rPr>
        <w:t>Table 1. The sixteen calibration anchors.</w:t>
      </w:r>
      <w:r>
        <w:t xml:space="preserve"> Endpoint throughout: 12-month clinically driven target lesion revascularisation or target lesion failure. Trust: 1.0 a randomised trial figure quoted directly, 0.7 a consistent range across trials, 0.4 an expert estimate.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Anchor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Bed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Observed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Predicted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Gamma_sc(0)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Trust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COR-DES-modern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Coronary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2.2%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0.836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COR-BRS-plla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Coronary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3.0%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1.7%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0.740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COR-BMS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Coronary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9.8%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11.4%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0.502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COR-POBA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Coronary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17.0%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18.1%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0.504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SFA-DCB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Femoropopliteal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2.4%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2.5%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0.791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1.0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SFA-POBA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Femoropopliteal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20.6%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16.4%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0.444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1.0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SFA-nitinol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Femoropopliteal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12.7%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14.1%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0.347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BTK-DCB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Below the knee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9.2%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11.2%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0.604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BTK-POBA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Below the knee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13.1%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17.4%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0.283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CAR-stent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Carotid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0.6%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0.6%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0.554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ILIAC-stent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Iliac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2.8%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2.9%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0.524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RENAL-stent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Renal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5.9%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5.9%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0.483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COR-undersized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Coronary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3.9%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2.5%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0.713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SFA-long-bare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Femoropopliteal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31.8%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52.1%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0.040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COR-DES-complex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Coronary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5.7%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2.4%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0.838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COR-DCB-small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Coronary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4.4%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5.7%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0.836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0.0</w:t>
            </w:r>
          </w:p>
        </w:tc>
      </w:tr>
    </w:tbl>
    <w:p/>
    <w:p>
      <w:r>
        <w:rPr>
          <w:i/>
          <w:sz w:val="18"/>
        </w:rPr>
        <w:t>Source notes for each anchor are carried in the released code (panvas/anchors.py) and must be replaced by primary citations before posting.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