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 xml:space="preserve"> ‡</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w:t>
      </w:r>
    </w:p>
    <w:p>
      <w:pPr>
        <w:ind w:left="432"/>
      </w:pPr>
      <w:r>
        <w:rPr>
          <w:b/>
          <w:color w:val="A8332A"/>
          <w:sz w:val="19"/>
        </w:rPr>
        <w:t>BEFORE POSTING — two things only the authors can do.</w:t>
      </w:r>
      <w:r>
        <w:rPr>
          <w:color w:val="A8332A"/>
          <w:sz w:val="19"/>
        </w:rPr>
        <w:t xml:space="preserve"> bioRxiv makes the submitting</w:t>
      </w:r>
    </w:p>
    <w:p>
      <w:pPr>
        <w:ind w:left="432"/>
      </w:pPr>
      <w:r>
        <w:rPr>
          <w:color w:val="A8332A"/>
          <w:sz w:val="19"/>
        </w:rPr>
        <w:t xml:space="preserve">author affirm that </w:t>
      </w:r>
      <w:r>
        <w:rPr>
          <w:b/>
          <w:color w:val="A8332A"/>
          <w:sz w:val="19"/>
        </w:rPr>
        <w:t>every</w:t>
      </w:r>
      <w:r>
        <w:rPr>
          <w:color w:val="A8332A"/>
          <w:sz w:val="19"/>
        </w:rPr>
        <w:t xml:space="preserve"> listed author has seen and agreed to this specific</w:t>
      </w:r>
    </w:p>
    <w:p>
      <w:pPr>
        <w:ind w:left="432"/>
      </w:pPr>
      <w:r>
        <w:rPr>
          <w:color w:val="A8332A"/>
          <w:sz w:val="19"/>
        </w:rPr>
        <w:t>version. Given what §3 reports — that most of our own first anchor set did not hold</w:t>
      </w:r>
    </w:p>
    <w:p>
      <w:pPr>
        <w:ind w:left="432"/>
      </w:pPr>
      <w:r>
        <w:rPr>
          <w:color w:val="A8332A"/>
          <w:sz w:val="19"/>
        </w:rPr>
        <w:t>up, and that §4 and §5 report findings against the model — that affirmation should be</w:t>
      </w:r>
    </w:p>
    <w:p>
      <w:pPr>
        <w:ind w:left="432"/>
      </w:pPr>
      <w:r>
        <w:rPr>
          <w:color w:val="A8332A"/>
          <w:sz w:val="19"/>
        </w:rPr>
        <w:t>obtained on the current text, not on a description of it. Second, competing interests</w:t>
      </w:r>
    </w:p>
    <w:p>
      <w:pPr>
        <w:ind w:left="432"/>
      </w:pPr>
      <w:r>
        <w:rPr>
          <w:color w:val="A8332A"/>
          <w:sz w:val="19"/>
        </w:rPr>
        <w:t>must be declared for all three authors, including any relationship with manufacturers</w:t>
      </w:r>
    </w:p>
    <w:p>
      <w:pPr>
        <w:ind w:left="432"/>
      </w:pPr>
      <w:r>
        <w:rPr>
          <w:color w:val="A8332A"/>
          <w:sz w:val="19"/>
        </w:rPr>
        <w:t>of the device classes modelled here. Confirm also which author is corresponding on</w:t>
      </w:r>
    </w:p>
    <w:p>
      <w:pPr>
        <w:ind w:left="432"/>
      </w:pPr>
      <w:r>
        <w:rPr>
          <w:color w:val="A8332A"/>
          <w:sz w:val="19"/>
        </w:rPr>
        <w:t>this paper.</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cannot be compensated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endpoint, and two of those three were the two arms of a single trial.</w:t>
      </w:r>
      <w:r>
        <w:t xml:space="preserve"> The remaining thirteen were stated high, by factors of 1.0 to 5.8,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We therefore report the corrected calibration: 12 anchors, all revascularisation constructs, each carrying seven declared provenance fields, with four further anchors excluded and listed. Eleven free constants fit these with a mean absolute error of 1.4 percentage points — which we report as a consistency check and not as performance, because eleven constants against roughly seven informative comparisons is under-determined. Seven of the eleven land on their bounds, and two of those are the compliance-mismatch and overstretch kernels: once the anchors are corrected, the fit no longer needs the mechanical axis. We read that as a 12-month revascularisation endpoint having no power over slow-acting mechanics rather than as the axis being empty, and §7 states the test that would decide it. In a 9,000-procedure simulation with an unobserved frailty term and realistic measurement error, the operator's four-number summary reached AUC 0.790 at n = 100, a level 55 raw features had not reached by n = 800. The pan-vascular transfer claim did not survive its own test: against a linear model given the same continuous bed physiology, the operator's cross-bed advantage was -0.024 AUC (95% bootstrap -0.041 to -0.010), an interval that excludes zero: it is worse.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The framework this paper operationalises was set out by our group as the research programme of China's National Basic Science Center for panvascular interventional complex systems [1]. That statement names device–vessel suitcordance as the object of study; what it does not do — what no statement of the idea has done — is compute it. Γ_sc has been a concept with no numerical value, no time course, and therefore nothing that could be checked against an outcome. This paper is an attempt to close that gap and to report honestly what happens when one does.</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claim failed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(undersizing bites harder than oversizing);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[2].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The geometric mean is the modelling commitment, not a convenience. A device fails along its worst-matched axis, and a product cannot be rescued by a high score elsewhere the way a sum can.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day grid to two years. Two scalars are read off it:</w:t>
      </w:r>
    </w:p>
    <w:p>
      <w:pPr>
        <w:spacing w:after="20"/>
      </w:pPr>
      <w:r>
        <w:rPr>
          <w:rFonts w:ascii="Consolas" w:hAnsi="Consolas"/>
          <w:sz w:val="19"/>
        </w:rPr>
        <w:t>τ_sc : the time t at which ∫₀^t |dΓ_sc/ds| ds = 0.632 · ∫₀^T |dΓ_sc/ds| ds</w:t>
      </w:r>
    </w:p>
    <w:p>
      <w:pPr>
        <w:spacing w:after="20"/>
      </w:pPr>
      <w:r>
        <w:rPr>
          <w:rFonts w:ascii="Consolas" w:hAnsi="Consolas"/>
          <w:sz w:val="19"/>
        </w:rPr>
        <w:t>D_T  : (1/T) ∫₀^T (1 − Γ_sc(t)) dt</w:t>
      </w:r>
    </w:p>
    <w:p>
      <w:r>
        <w:t>τ_sc is defined on total variation rather than on a monotone approach to an asymptote, so it stays well defined when the trajectory is non-monotone, which it routinely is. It separates devices that are indistinguishable at implantation (Figure 1b): in the same coronary lesion a paclitaxel-coated balloon has τ_sc ≈ 132 days while a thin-strut drug-eluting stent has τ_sc ≈ 265 days — the balloon's fate is settled in the first four months, the stent's is not.</w:t>
      </w:r>
    </w:p>
    <w:p>
      <w:pPr>
        <w:pStyle w:val="Heading2"/>
      </w:pPr>
      <w:r>
        <w:t>2.4 Hazard link</w:t>
      </w:r>
    </w:p>
    <w:p>
      <w:pPr>
        <w:spacing w:after="20"/>
      </w:pPr>
      <w:r>
        <w:rPr>
          <w:rFonts w:ascii="Consolas" w:hAnsi="Consolas"/>
          <w:sz w:val="19"/>
        </w:rPr>
        <w:t>λ(t) = λ₀(bed) · exp(β · (Γ*_bed − Γ_sc(t)))</w:t>
      </w:r>
    </w:p>
    <w:p>
      <w:r>
        <w:t>λ₀ is the bed's published best-practice 12-month clinically driven TLR.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best practice does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Forty-nine agents, 696 source lookups.</w:t>
      </w:r>
    </w:p>
    <w:p>
      <w:pPr>
        <w:pStyle w:val="Heading2"/>
      </w:pPr>
      <w:r>
        <w:t>3.2 What the audit found</w:t>
      </w:r>
    </w:p>
    <w:p>
      <w:r>
        <w:rPr>
          <w:b/>
        </w:rPr>
        <w:t>Three of the sixteen survived.</w:t>
      </w:r>
      <w:r>
        <w:t xml:space="preserve"> COR-BRS-plla, SFA-DCB and SFA-POBA were values the primary source reports at a commensurable endpoint — and two of those three are the two arms of one trial. The evidence base of the original calibration was two papers and three numbers.</w:t>
      </w:r>
    </w:p>
    <w:p>
      <w:r>
        <w:rPr>
          <w:b/>
        </w:rPr>
        <w:t>Thirteen values were wrong, every one of them high</w:t>
      </w:r>
      <w:r>
        <w:t>, by factors of 1.02 to 5.83.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Coronary anchors survived 1 of 7; femoropopliteal 3 of 4.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SFA-long-bare (surveillance-triggered all-cause TLR, single-arm), COR-DES-complex and COR-DCB-small (TLF composites, secondary or post hoc). Trust weight now encodes audited evidence quality rather than author confidence. Six of the beds' λ₀ values were revised downward accordingly.</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1.4 percentage points</w:t>
      </w:r>
      <w:r>
        <w:t>, worst residual 4.3 points on BTK-POBA (Figure 2).</w:t>
      </w:r>
    </w:p>
    <w:p>
      <w:r>
        <w:t xml:space="preserve">What that number is not.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about seven informative comparisons — against eleven free constants. </w:t>
      </w:r>
      <w:r>
        <w:rPr>
          <w:b/>
        </w:rPr>
        <w:t>An MAE of 1.4 points is therefore not evidence that the operator is right.</w:t>
      </w:r>
      <w:r>
        <w:t xml:space="preserve"> With more free parameters than informative constraints, a low residual is what one should expect, and we report it as a consistency check rather than as performance.</w:t>
      </w:r>
    </w:p>
    <w:p>
      <w:r>
        <w:rPr>
          <w:b/>
        </w:rPr>
        <w:t>Seven of the eleven fitted constants sit on their bounds</w:t>
      </w:r>
      <w:r>
        <w:t xml:space="preserve">, which is the clearest signal in the fit and points at the model rather than at the data. Two of the seven matter more than the rest: the compliance-mismatch kernel and the overstretch-stress kernel both collapse to their floors. In plain terms, </w:t>
      </w:r>
      <w:r>
        <w:rPr>
          <w:b/>
        </w:rPr>
        <w:t>once the anchors are corrected, the fit no longer needs the mechanical axis at all.</w:t>
      </w:r>
      <w:r>
        <w:t xml:space="preserve"> The retained anchors are explained almost entirely by Γ_H (lumen restored, strut burden) and Γ_B (antiproliferative supply against drive); the weakest axis is Γ_H for ten of the twelve anchors and Γ_B for the other two, and Γ_M is never binding.</w:t>
      </w:r>
    </w:p>
    <w:p>
      <w:r>
        <w:t>We take that seriously rather than tuning around it. Two readings are available and the data here cannot separate them. Either the mechanical axis is not doing real work and the operator should be three axes, or — the reading we find more likely and which the falsification plan in §7 is designed to test — a 12-month revascularisation endpoint has no power to identify it. Compliance mismatch, fatigue and resorption are all slow-acting: fatigue accrues across the first year, a poly-L-lactide scaffold's compliance converges on the wall's only over two to three years. An axis whose predictions live in years 2 to 5 cannot be identified from year-one revascularisation, and a fit that switches it off is behaving correctly given what it was shown. Either way, the four-axis structure should not be presented as established by this calibration.</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Four representations of the same information: (A) 55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w:t>
      </w:r>
    </w:p>
    <w:p>
      <w:pPr>
        <w:pStyle w:val="Heading2"/>
      </w:pPr>
      <w:r>
        <w:t>5.3 Results</w:t>
      </w:r>
    </w:p>
    <w:p>
      <w:r>
        <w:rPr>
          <w:b/>
        </w:rPr>
        <w:t>Sample efficiency (Figure 3a).</w:t>
      </w:r>
      <w:r>
        <w:t xml:space="preserve"> Within the coronary bed the operator's four numbers reached AUC 0.790 at n = 100 and were flat thereafter (0.797 at n = 800). Raw features under a linear model were at 0.596 at n = 100 and had still not caught up at n = 800 (0.778); under trees they were lower and unstable (0.600 at n = 100, 0.699 at n = 800). For single-centre cohorts, where the number of procedures is the binding constraint, this is the operator's only demonstrated practical advantage — and it is the one that survived the recalibration, in a sharper form.</w:t>
      </w:r>
    </w:p>
    <w:p>
      <w:r>
        <w:rPr>
          <w:b/>
        </w:rPr>
        <w:t>Cross-bed transfer: the claim failed, and after the refit it failed clearly (Figure 3b).</w:t>
      </w:r>
      <w:r>
        <w:t xml:space="preserve"> Training on coronary and carotid and testing on femoropopliteal, below-the-knee, renal and iliac, the operator reached AUC 0.610 against 0.635 for raw features plus continuous bed physiology under a linear model — a difference of </w:t>
      </w:r>
      <w:r>
        <w:rPr>
          <w:b/>
        </w:rPr>
        <w:t>-0.024 (95% bootstrap -0.041 to -0.010)</w:t>
      </w:r>
      <w:r>
        <w:t xml:space="preserve">. On the uncorrected anchor set this difference was −0.014 with a confidence interval spanning zero; on the corrected one </w:t>
      </w:r>
      <w:r>
        <w:rPr>
          <w:b/>
        </w:rPr>
        <w:t>the interval excludes zero and the operator is worse.</w:t>
      </w:r>
      <w:r>
        <w:t xml:space="preserve"> The apparent advantage over tree models (0.571) was never the operator: it was that a linear model extrapolates along a continuous bed parameter and a tree, which can only interpolate between values it has seen, cannot. Representations (A) and (A′) were numerically identical, for the same reason.</w:t>
      </w:r>
    </w:p>
    <w:p>
      <w:r>
        <w:rPr>
          <w:b/>
        </w:rPr>
        <w:t>Level does not transfer, ordering does.</w:t>
      </w:r>
      <w:r>
        <w:t xml:space="preserve"> The operator's raw cross-bed Brier score was 0.249, worse than predicting the base rate (0.135). A single intercept recalibration brought every arm to ≈0.132. Across beds the operator supplies a ranking, and not a good one; absolute risk requires bed-level recalibration.</w:t>
      </w:r>
    </w:p>
    <w:p>
      <w:pPr>
        <w:pStyle w:val="Heading1"/>
      </w:pPr>
      <w:r>
        <w:t>6. A harness that improves without retraining the operator</w:t>
      </w:r>
    </w:p>
    <w:p>
      <w:r>
        <w:t xml:space="preserve">Device selection needs a policy deciding how the operator is used — the sizing rule, when to prepare calcium, when to demand an antiproliferative device. Following the separation used in recent interactive scientific agents [3], we hold that policy as data rather than code, score candidate plans against a fixed rubric composer, and improve the policy with the operator's constants frozen. Across 60 development tasks with 120 held out, the held-out rubric score rose from 0.749 to 0.948 with no change to the operator; two edits accounted for almost all of it.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about seven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the mechanical axis is switched off by the fit.</w:t>
      </w:r>
      <w:r>
        <w:t xml:space="preserve"> The four-axis structure is not established by this calibration.</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Not a clinical decision tool</w:t>
      </w:r>
      <w:r>
        <w:t xml:space="preserve"> and must not be used as one.</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b/>
          <w:color w:val="A8332A"/>
          <w:sz w:val="19"/>
        </w:rPr>
        <w:t>BEFORE POSTING:</w:t>
      </w:r>
      <w:r>
        <w:rPr>
          <w:color w:val="A8332A"/>
          <w:sz w:val="19"/>
        </w:rPr>
        <w:t xml:space="preserve"> deposit the code and replace this with the Zenodo concept DOI.</w:t>
      </w:r>
    </w:p>
    <w:p>
      <w:pPr>
        <w:pStyle w:val="Heading1"/>
      </w:pPr>
      <w:r>
        <w:t>10. Declarations</w:t>
      </w:r>
    </w:p>
    <w:p>
      <w:r>
        <w:rPr>
          <w:b/>
        </w:rPr>
        <w:t>Funding.</w:t>
      </w:r>
      <w:r>
        <w:t xml:space="preserve"> </w:t>
      </w:r>
      <w:r>
        <w:rPr>
          <w:i/>
        </w:rPr>
        <w:t>To be completed.</w:t>
      </w:r>
      <w:r>
        <w:t xml:space="preserve"> </w:t>
      </w:r>
      <w:r>
        <w:rPr>
          <w:b/>
        </w:rPr>
        <w:t>Competing interests.</w:t>
      </w:r>
      <w:r>
        <w:t xml:space="preserve"> </w:t>
      </w:r>
      <w:r>
        <w:rPr>
          <w:i/>
        </w:rPr>
        <w:t>To be declared — including any relationship with manufacturers of the device classes modelled here.</w:t>
      </w:r>
      <w:r>
        <w:t xml:space="preserve"> </w:t>
      </w:r>
      <w:r>
        <w:rPr>
          <w:b/>
        </w:rPr>
        <w:t>Ethics.</w:t>
      </w:r>
      <w:r>
        <w:t xml:space="preserve"> No human subjects or patient data were involved. </w:t>
      </w:r>
      <w:r>
        <w:rPr>
          <w:b/>
        </w:rPr>
        <w:t>Author contributions.</w:t>
      </w:r>
      <w:r>
        <w:t xml:space="preserve"> </w:t>
      </w:r>
      <w:r>
        <w:rPr>
          <w:i/>
        </w:rPr>
        <w:t>To be completed once the author list is settled.</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xml:space="preserve">. In press (accepted 14 September 2026). </w:t>
      </w:r>
      <w:r>
        <w:rPr>
          <w:i/>
        </w:rPr>
        <w:t>[DOI to be added once assigned — do not post without it.]</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78780"/>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78780"/>
                    </a:xfrm>
                    <a:prstGeom prst="rect"/>
                  </pic:spPr>
                </pic:pic>
              </a:graphicData>
            </a:graphic>
          </wp:inline>
        </w:drawing>
      </w:r>
    </w:p>
    <w:p>
      <w:pPr>
        <w:jc w:val="center"/>
      </w:pPr>
      <w:r>
        <w:rPr>
          <w:i/>
          <w:sz w:val="18"/>
        </w:rPr>
        <w:t>Figure 3.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11.4%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18.1%</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14.1%</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2.5%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52.1%</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2.4%</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5.7%</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