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shen_li@fudan.edu.cn (L.S.); &amp;lt;GE_EMAIL&amp;gt; (J.G.).</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 xml:space="preserve">We therefore report the corrected calibration: 12 anchors, all revascularisation constructs, each carrying seven declared provenance fields, with four further anchors excluded and listed. Eleven free constants fit these with a mean absolute error of 1.4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 on the six genuinely informative anchors the error is 2.3 points. Seven of the eleven constants land on their bounds, and </w:t>
      </w:r>
      <w:r>
        <w:rPr>
          <w:b/>
        </w:rPr>
        <w:t>removing the mechanical axis entirely improves the fit</w:t>
      </w:r>
      <w:r>
        <w:t xml:space="preserve"> (1.37 to 1.32 points), so that axis is not merely unused but currently harmful. Whether it is empty, wrongly specified, or simply invisible to a 12-month revascularisation endpoint is not decidable here; §7 states the test. In a 9,000-procedure simulation with an unobserved frailty term and realistic measurement error, the operator's four-number summary reached AUC 0.790 at n = 100, a level 44 raw features had not reached by n = 800. The pan-vascular transfer claim did not survive its own test either way: against a linear model given the same continuous bed physiology, the operator's cross-bed difference was −0.024 AUC at the first seed we ran, but the sign flips across simulation seeds (−0.024 to +0.037),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and connected to intravascular imaging and digital twins [5].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(undersizing bites harder than oversizing);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so a two-thousand-fold collapse on one axis becomes an eighteen-fold reduction in the composite.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day grid to two years. Two scalars are read off it:</w:t>
      </w:r>
    </w:p>
    <w:p>
      <w:pPr>
        <w:spacing w:after="20"/>
      </w:pPr>
      <w:r>
        <w:rPr>
          <w:rFonts w:ascii="Consolas" w:hAnsi="Consolas"/>
          <w:sz w:val="19"/>
        </w:rPr>
        <w:t>τ_sc : the time t at which ∫₀^t |dΓ_sc/ds| ds = 0.632 · ∫₀^T |dΓ_sc/ds| ds</w:t>
      </w:r>
    </w:p>
    <w:p>
      <w:pPr>
        <w:spacing w:after="20"/>
      </w:pPr>
      <w:r>
        <w:rPr>
          <w:rFonts w:ascii="Consolas" w:hAnsi="Consolas"/>
          <w:sz w:val="19"/>
        </w:rPr>
        <w:t>D_T  : (1/T) ∫₀^T (1 − Γ_sc(t)) dt</w:t>
      </w:r>
    </w:p>
    <w:p>
      <w:r>
        <w:t>τ_sc is defined on total variation rather than on a monotone approach to an asymptote, so it stays well defined when the trajectory is non-monotone, which it routinely is. It separates devices that are indistinguishable at implantation (Figure 1b): in the same coronary lesion a paclitaxel-coated balloon has τ_sc = 124 days while an ultrathin-strut drug-eluting stent has τ_sc = 261 days — the balloon's fate is largely settled in the first four months, the stent's is not. The two are not indistinguishable at implantation (Γ_sc(0) 0.801 against 0.857), but the gap at implantation is small next to the difference in how fast each one gets there.</w:t>
      </w:r>
    </w:p>
    <w:p>
      <w:pPr>
        <w:pStyle w:val="Heading2"/>
      </w:pPr>
      <w:r>
        <w:t>2.4 Hazard link</w:t>
      </w:r>
    </w:p>
    <w:p>
      <w:pPr>
        <w:spacing w:after="20"/>
      </w:pPr>
      <w:r>
        <w:rPr>
          <w:rFonts w:ascii="Consolas" w:hAnsi="Consolas"/>
          <w:sz w:val="19"/>
        </w:rPr>
        <w:t>λ(t) = λ₀(bed) · exp(β · (Γ*_bed − Γ_sc(t)))</w:t>
      </w:r>
    </w:p>
    <w:p>
      <w:r>
        <w:t>λ₀ is the bed's published best-practice 12-month clinically driven TLR.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best practice does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1.4 percentage points</w:t>
      </w:r>
      <w:r>
        <w:t xml:space="preserve"> over the twelve retained anchors, worst residual 4.3 points on BTK-POBA (Figure 2). </w:t>
      </w:r>
      <w:r>
        <w:rPr>
          <w:b/>
        </w:rPr>
        <w:t>Half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small Jensen gap whatever the eleven constants are. Their mean residual is 0.4 points. On the six anchors that are genuinely informative — COR-BRS-plla, COR-BMS, COR-POBA, SFA-POBA, SFA-nitinol, BTK-POBA — the mean absolute error is </w:t>
      </w:r>
      <w:r>
        <w:rPr>
          <w:b/>
        </w:rPr>
        <w:t>2.3 percentage points</w:t>
      </w:r>
      <w:r>
        <w:t>, and that is the number a reader should hold us to.</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1.4 points is therefore not evidence that the operator is right.</w:t>
      </w:r>
      <w:r>
        <w:t xml:space="preserve"> With more free parameters than informative constraints, a low residual is what one should expect, and we report it as a consistency check rather than as performance.</w:t>
      </w:r>
    </w:p>
    <w:p>
      <w:r>
        <w:rPr>
          <w:b/>
        </w:rPr>
        <w:t>Seven of the eleven fitted constants sit on their bounds</w:t>
      </w:r>
      <w:r>
        <w:t xml:space="preserve">, which is the clearest signal in the fit and points at the model rather than at the data. Γ_M is built from three kernels and all three are degenerate: the compliance-mismatch and overstretch kernels collapse to their floors, and the cyclic-fatigue kernel is pinned at its </w:t>
      </w:r>
      <w:r>
        <w:rPr>
          <w:i/>
        </w:rPr>
        <w:t>ceiling</w:t>
      </w:r>
      <w:r>
        <w:t xml:space="preserve"> (11.999 against a bound of 12.0). We report the ceiling as well as the floors, because omitting it would be exactly the selective reading of a bounds table that this paper otherwise argues against.</w:t>
      </w:r>
    </w:p>
    <w:p>
      <w:r>
        <w:t xml:space="preserve">We then did the obvious test and it went against us. </w:t>
      </w:r>
      <w:r>
        <w:rPr>
          <w:b/>
        </w:rPr>
        <w:t>Setting Γ_M ≡ 1 for every anchor improves the fit</w:t>
      </w:r>
      <w:r>
        <w:t>: mean absolute error falls from 1.37 to 1.32 points, and the residual on SFA-nitinol — the one anchor the fatigue term exists to explain — falls from 1.39 to 0.54 points. The saturated fatigue term is pushing its own anchor the wrong way. The mechanical axis is therefore not merely never binding; on this endpoint it is actively harmful.</w:t>
      </w:r>
    </w:p>
    <w:p>
      <w:r>
        <w:t>Three readings are available and these data cannot separate them. The axis may be empty. Its functional forms may be wrong, which the pinned bounds independently suggest. Or — the reading we find most likely, and which §7 is designed to test — a 12-month revascularisation endpoint simply cannot see it: compliance convergence, fatigue accrual and resorption are slow, a poly-L-lactide scaffold's compliance approaches the wall's only over two to three years, and an axis whose predictions live in years 2 to 5 cannot be identified from year-one revascularisation. What is not available is presenting the four-axis structure as established by this calibration. It is not.</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w:t>
      </w:r>
    </w:p>
    <w:p>
      <w:pPr>
        <w:pStyle w:val="Heading2"/>
      </w:pPr>
      <w:r>
        <w:t>5.3 Results</w:t>
      </w:r>
    </w:p>
    <w:p>
      <w:r>
        <w:rPr>
          <w:b/>
        </w:rPr>
        <w:t>Sample efficiency (Figure 3a).</w:t>
      </w:r>
      <w:r>
        <w:t xml:space="preserve"> Within the coronary bed the operator's four numbers reached AUC 0.790 at n = 100 and were flat thereafter (0.797 at n = 800). Raw features under a linear model were at 0.596 at n = 100 and had still not caught up at n = 800 (0.778); under trees they were lower and unstable (0.600 at n = 100, 0.699 at n = 800). For single-centre cohorts, where the number of procedures is the binding constraint, this is the operator's only demonstrated practical advantage — and it is the one that survived the recalibration, in a sharper form.</w:t>
      </w:r>
    </w:p>
    <w:p>
      <w:r>
        <w:rPr>
          <w:b/>
        </w:rPr>
        <w:t>Cross-bed transfer: the experiment cannot answer the question (Figure 3b).</w:t>
      </w:r>
      <w:r>
        <w:t xml:space="preserve"> Training on coronary and carotid and testing on femoropopliteal, below-the-knee, renal and iliac, the operator reached AUC 0.610 against 0.635 for raw features plus continuous bed physiology under a linear model — a difference of −0.024, with a case-level bootstrap interval of (−0.041, −0.010) that excludes zero.</w:t>
      </w:r>
    </w:p>
    <w:p>
      <w:r>
        <w:rPr>
          <w:b/>
        </w:rPr>
        <w:t>That result does not survive its own robustness check, and we report the check rather than the result.</w:t>
      </w:r>
      <w:r>
        <w:t xml:space="preserve"> Repeating the whole experiment at five simulation seeds gives differences of −0.024, +0.024, +0.037, +0.003 and −0.005: the sign flips, the mean is +0.007, and the case-level interval excludes zero in three of the five seeds —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0.249, far worse than predicting the test beds' base rate (0.135). Two different corrections get called "recalibration" and they are not interchangeable, so we report both. Shifting the intercept only — keeping the model's log-odds slope — leaves every arm </w:t>
      </w:r>
      <w:r>
        <w:rPr>
          <w:i/>
        </w:rPr>
        <w:t>worse</w:t>
      </w:r>
      <w:r>
        <w:t xml:space="preserve"> than the base rate: 0.151 for the operator, 0.149 for raw features plus bed physiology, 0.163 for trees. What actually repairs them is refitting the slope as well (0.132, 0.131, 0.133), and the slope the operator needs is 0.26 — its log-odds are roughly four times too steep across beds. Both of these use the test labels and are therefore ceilings, not out-of-sample scores.</w:t>
      </w:r>
    </w:p>
    <w:p>
      <w:r>
        <w:t xml:space="preserve">The distinction matters for anyone who wants to use the operator in a new bed. Its </w:t>
      </w:r>
      <w:r>
        <w:rPr>
          <w:i/>
        </w:rPr>
        <w:t>ordering</w:t>
      </w:r>
      <w:r>
        <w:t xml:space="preserve"> carries (AUC 0.610,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[6], we hold that policy as data rather than code, score candidate plans against a fixed rubric composer, and improve the policy with the operator's constants frozen. Across 60 development tasks with 120 held out, the held-out rubric score rose from 0.749 to 0.948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Not a clinical decision tool</w:t>
      </w:r>
      <w:r>
        <w:t xml:space="preserve"> and must not be used as one.</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b/>
          <w:color w:val="A8332A"/>
          <w:sz w:val="19"/>
        </w:rPr>
        <w:t>BEFORE POSTING:</w:t>
      </w:r>
      <w:r>
        <w:rPr>
          <w:color w:val="A8332A"/>
          <w:sz w:val="19"/>
        </w:rPr>
        <w:t xml:space="preserve"> deposit the code and replace this with the Zenodo concept DOI.</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authors declare no other competing interests, and no consulting income, speaking fees, equity, patents or family interests involving any manufacturer of the device classes evaluated here. </w:t>
      </w:r>
      <w:r>
        <w:rPr>
          <w:b/>
        </w:rPr>
        <w:t>Ethics.</w:t>
      </w:r>
      <w:r>
        <w:t xml:space="preserve"> No human subjects or patient data were involved. </w:t>
      </w:r>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 </w:t>
      </w:r>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xml:space="preserve">. In press (accepted 14 September 2026). </w:t>
      </w:r>
      <w:r>
        <w:rPr>
          <w:i/>
        </w:rPr>
        <w:t>[DOI to be added before posting.]</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78780"/>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78780"/>
                    </a:xfrm>
                    <a:prstGeom prst="rect"/>
                  </pic:spPr>
                </pic:pic>
              </a:graphicData>
            </a:graphic>
          </wp:inline>
        </w:drawing>
      </w:r>
    </w:p>
    <w:p>
      <w:pPr>
        <w:jc w:val="center"/>
      </w:pPr>
      <w:r>
        <w:rPr>
          <w:i/>
          <w:sz w:val="18"/>
        </w:rPr>
        <w:t>Figure 3.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11.4%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18.1%</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14.1%</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2.5%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52.1%</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2.4%</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5.7%</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