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Suitcordance: a calibrated, time-resolved operator for device–vessel matching across the arterial tree, and an audit of the literature values it was calibrated against</w:t>
      </w:r>
    </w:p>
    <w:p>
      <w:r>
        <w:rPr>
          <w:b/>
        </w:rPr>
        <w:t>Lingsen You</w:t>
      </w:r>
      <w:r>
        <w:rPr>
          <w:vertAlign w:val="superscript"/>
        </w:rPr>
        <w:t>1,2,3,4,5</w:t>
      </w:r>
      <w:r>
        <w:t xml:space="preserve">, </w:t>
      </w:r>
      <w:r>
        <w:rPr>
          <w:b/>
        </w:rPr>
        <w:t>Li Shen</w:t>
      </w:r>
      <w:r>
        <w:rPr>
          <w:vertAlign w:val="superscript"/>
        </w:rPr>
        <w:t>1,2,3,4,5</w:t>
      </w:r>
      <w:r>
        <w:t xml:space="preserve">‡, </w:t>
      </w:r>
      <w:r>
        <w:rPr>
          <w:b/>
        </w:rPr>
        <w:t>Junbo Ge</w:t>
      </w:r>
      <w:r>
        <w:rPr>
          <w:vertAlign w:val="superscript"/>
        </w:rPr>
        <w:t>1,2,3,4,5</w:t>
      </w:r>
      <w:r>
        <w:t>‡</w:t>
      </w:r>
    </w:p>
    <w:p>
      <w:r>
        <w:rPr>
          <w:vertAlign w:val="superscript"/>
        </w:rPr>
        <w:t>1</w:t>
      </w:r>
      <w:r>
        <w:t xml:space="preserve"> Department of Cardiology, Zhongshan Hospital, Fudan University, Shanghai Institute of Cardiovascular Diseases, No. 180 Fenglin Road, Xuhui District, Shanghai 200032, China</w:t>
      </w:r>
    </w:p>
    <w:p>
      <w:r>
        <w:rPr>
          <w:vertAlign w:val="superscript"/>
        </w:rPr>
        <w:t>2</w:t>
      </w:r>
      <w:r>
        <w:t xml:space="preserve"> National Clinical Research Center for Interventional Medicine, No. 180 Fenglin Road, Xuhui District, Shanghai 200032, China</w:t>
      </w:r>
    </w:p>
    <w:p>
      <w:r>
        <w:rPr>
          <w:vertAlign w:val="superscript"/>
        </w:rPr>
        <w:t>3</w:t>
      </w:r>
      <w:r>
        <w:t xml:space="preserve"> Oriental Pan-Vascular Devices Innovation College, University of Shanghai for Science and Technology (USST), No. 516 Jungong Road, Yangpu District, Shanghai 200093, China</w:t>
      </w:r>
    </w:p>
    <w:p>
      <w:r>
        <w:rPr>
          <w:vertAlign w:val="superscript"/>
        </w:rPr>
        <w:t>4</w:t>
      </w:r>
      <w:r>
        <w:t xml:space="preserve"> State Key Laboratory of Cardiovascular Diseases, Zhongshan Hospital, Fudan University, No. 1609 Xietu Road, Xuhui District, Shanghai 200032, China</w:t>
      </w:r>
    </w:p>
    <w:p>
      <w:r>
        <w:rPr>
          <w:vertAlign w:val="superscript"/>
        </w:rPr>
        <w:t>5</w:t>
      </w:r>
      <w:r>
        <w:t xml:space="preserve"> NHC Key Laboratory of Ischemic Heart Diseases, No. 1609 Xietu Road, Xuhui District, Shanghai 200032, China</w:t>
      </w:r>
    </w:p>
    <w:p>
      <w:r>
        <w:t>‡ Corresponding authors. Email: jbge@zs-hospital.sh.cn (J.G.); shen_li@fudan.edu.cn (L.S.).</w:t>
      </w:r>
    </w:p>
    <w:p>
      <w:r>
        <w:t>First author correspondence: lingsenyou@fudan.edu.cn (L.Y.).</w:t>
      </w:r>
    </w:p>
    <w:p>
      <w:r>
        <w:t>ORCID: L.Y. 0000-0003-0794-5907; J.G. 0000-0002-9360-7332. L.S. has no ORCID.</w:t>
      </w:r>
    </w:p>
    <w:p>
      <w:pPr>
        <w:pStyle w:val="Heading1"/>
      </w:pPr>
      <w:r>
        <w:t>Abstract</w:t>
      </w:r>
    </w:p>
    <w:p>
      <w:r>
        <w:t xml:space="preserve">Device selection in endovascular intervention is governed by bed-specific rules of thumb that are not commensurable across arterial beds and carry no explicit time course. We formalise device–vessel failure as a property of the </w:t>
      </w:r>
      <w:r>
        <w:rPr>
          <w:i/>
        </w:rPr>
        <w:t>agreement</w:t>
      </w:r>
      <w:r>
        <w:t xml:space="preserve"> between device and vessel rather than of either alone, and define a suitcordance operator Γ_sc on four axes: geometric, mechanical, hemodynamic and biological. The axes combine as a bed-weighted geometric mean, so that a collapse on any one axis drags the composite down instead of being averaged away by the other three. Every axis is a function of time, which yields two scalars the static formulation lacked: a time constant τ_sc, the time by which the trajectory has accumulated 63.2% of its total variation, and a time-averaged mismatch dose. Risk is linked through λ(t) = λ₀·exp(β·(Γ*−Γ_sc(t))), anchored per bed at the match level that bed's own reference device attains.</w:t>
      </w:r>
    </w:p>
    <w:p>
      <w:r>
        <w:t xml:space="preserve">Calibrating such an operator requires published event rates, and assembling them turned out to be the hardest and most instructive part of the work. Our first anchor set of sixteen literature values was subjected to an adversarial citation audit in which every value was independently hunted and then attacked by two skeptics. </w:t>
      </w:r>
      <w:r>
        <w:rPr>
          <w:b/>
        </w:rPr>
        <w:t>Only three of the sixteen were values the primary source actually reports at a commensurable 12-month endpoint; two of those three were the two arms of a single trial, and fixing our own stated endpoint preference then moved the third, so two values survived into the final set — one trial, two numbers.</w:t>
      </w:r>
      <w:r>
        <w:t xml:space="preserve"> Fourteen values changed, every one of them downward, by factors of 1.02 to 5.83, and five could be reverse-engineered exactly from a </w:t>
      </w:r>
      <w:r>
        <w:rPr>
          <w:i/>
        </w:rPr>
        <w:t>different</w:t>
      </w:r>
      <w:r>
        <w:t xml:space="preserve"> endpoint reported in the correctly cited paper — endpoint substitution rather than transcription error. Within a single trial, target lesion failure and clinically driven target lesion revascularisation differ by two- to threefold, so a claim that the endpoint is "held constant" while either may be used holds nothing constant.</w:t>
      </w:r>
    </w:p>
    <w:p>
      <w:r>
        <w:t xml:space="preserve">We therefore report the corrected calibration: 12 anchors, all revascularisation constructs, each carrying seven declared provenance fields, with four further anchors excluded and listed. Eleven free constants fit these with a mean absolute error of 1.4 percentage points — which we report as a consistency check and not as performance, because eleven constants against six informative comparisons is under-determined, and because six of the twelve anchors are their own bed's reference case and reproduce its baseline rate by construction: on the six genuinely informative anchors the error is 2.3 points. Seven of the eleven constants land on their bounds, and </w:t>
      </w:r>
      <w:r>
        <w:rPr>
          <w:b/>
        </w:rPr>
        <w:t>removing the mechanical axis entirely improves the fit</w:t>
      </w:r>
      <w:r>
        <w:t xml:space="preserve"> (1.37 to 1.32 points), so that axis is not merely unused but currently harmful. Whether it is empty, wrongly specified, or simply invisible to a 12-month revascularisation endpoint is not decidable here; §7 states the test. In a 9,000-procedure simulation with an unobserved frailty term and realistic measurement error, the operator's four-number summary reached AUC 0.790 at n = 100, a level 44 raw features had not reached by n = 800. The pan-vascular transfer claim did not survive its own test either way: against a linear model given the same continuous bed physiology, the operator's cross-bed difference was −0.024 AUC at the first seed we ran, but the sign flips across simulation seeds (−0.024 to +0.037), and a bootstrap over the four held-out beds — the actual unit of the claim — covers zero at every seed. With four beds the design has no power to decide, which is itself the finding. No patient-level data were used. This is a modelling, calibration and evidence-audit report, not a validation.</w:t>
      </w:r>
    </w:p>
    <w:p>
      <w:r>
        <w:rPr>
          <w:b/>
        </w:rPr>
        <w:t>Keywords:</w:t>
      </w:r>
      <w:r>
        <w:t xml:space="preserve"> pan-vascular intervention, device–vessel matching, endpoint definition, calibration, evidence audit, bioresorbable scaffold, drug-coated balloon</w:t>
      </w:r>
    </w:p>
    <w:p>
      <w:pPr>
        <w:pStyle w:val="Heading1"/>
      </w:pPr>
      <w:r>
        <w:t>1. Introduction</w:t>
      </w:r>
    </w:p>
    <w:p>
      <w:r>
        <w:t>An interventionalist choosing a device is solving a matching problem, but the tools of the trade do not describe it as one. Sizing rules are bed-specific and mutually untranslatable: 1:1 to the distal reference in a coronary artery, 10–20% oversizing for a self-expanding femoropopliteal stent, 15–50% in the carotid. Each rule is defensible in its own bed, and none of them says what the rules have in common — that a device and a vessel can agree or disagree along several axes at once, and that the disagreement evolves.</w:t>
      </w:r>
    </w:p>
    <w:p>
      <w:r>
        <w:t>Every clinically consequential mismatch has a time course. A scaffold's compliance converges on the wall's as it resorbs; a drug washes out while the proliferative stimulus it opposes decays on its own schedule; a nitinol stent accumulates fatigue over the first year in the flexion zone. Yet device–vessel matching is almost always discussed as a property of the moment of implantation, and two devices that look identical on the table can diverge over the following two years for reasons that are predictable from their materials.</w:t>
      </w:r>
    </w:p>
    <w:p>
      <w:r>
        <w:t xml:space="preserve">The framework this paper operationalises is our group's own. Device–vessel suitcordance was named as the object of study of China's National Basic Science Center for panvascular interventional complex systems [1], developed as a tri-ecological balance [2], extended to full-watershed organs [3], given an experimental platform in a panvascular-on-a-chip system [4], and connected to intravascular imaging and digital twins [5]. What none of those papers does — and what we had not done — is </w:t>
      </w:r>
      <w:r>
        <w:rPr>
          <w:b/>
        </w:rPr>
        <w:t>compute</w:t>
      </w:r>
      <w:r>
        <w:t xml:space="preserve"> it: Γ_sc has been specified verbally, without a numerical value, a time course, fitted constants, or anything that could be checked against an outcome. This paper is the first executable implementation, and it reports what happened when we tried.</w:t>
      </w:r>
    </w:p>
    <w:p>
      <w:r>
        <w:t>Related mechanistic work exists and is in some respects ahead of this one. Multiscale models of in-stent restenosis couple haemodynamics to agent-based tissue growth and predict at this same 12-month horizon, and the femoropopliteal ones have been calibrated against per-patient lumen area at one month and one year — patient-level validation this operator does not have. What is different here is scope rather than depth: one operator applied across six arterial beds from a single parameter set, with a device-selection layer on top, and with its calibration evidence published field by field.</w:t>
      </w:r>
    </w:p>
    <w:p>
      <w:r>
        <w:t>This paper does four things. It defines an operator that computes the agreement between a device and a vessel on four axes, as a function of time, in any of six arterial beds from one parameter set (§2). It reports an adversarial audit of the literature values such an operator has to be calibrated against, which found most of our own first attempt to be wrong (§3) — a result we believe generalises well beyond this model. It fits the operator to the corrected values (§4) and tests, in simulation, the claim that motivated the construction, reporting that the design turns out to have no power to decide it (§5). And it states what would falsify the operator on real data before anyone runs it (§7).</w:t>
      </w:r>
    </w:p>
    <w:p>
      <w:pPr>
        <w:pStyle w:val="Heading1"/>
      </w:pPr>
      <w:r>
        <w:t>2. The operator</w:t>
      </w:r>
    </w:p>
    <w:p>
      <w:pPr>
        <w:pStyle w:val="Heading2"/>
      </w:pPr>
      <w:r>
        <w:t>2.1 Four axes</w:t>
      </w:r>
    </w:p>
    <w:p>
      <w:r>
        <w:t xml:space="preserve">For a lesion </w:t>
      </w:r>
      <w:r>
        <w:rPr>
          <w:i/>
        </w:rPr>
        <w:t>x</w:t>
      </w:r>
      <w:r>
        <w:t xml:space="preserve"> (bed, proximal and distal reference diameter, length, calcium, tortuosity, bifurcation, side branch, runoff, diabetes, inflammatory burden) and a plan </w:t>
      </w:r>
      <w:r>
        <w:rPr>
          <w:i/>
        </w:rPr>
        <w:t>a</w:t>
      </w:r>
      <w:r>
        <w:t xml:space="preserve"> (device class, nominal diameter, length, number of devices, lesion preparation, post-dilatation), four agreement functions are defined on [0, 1]:</w:t>
      </w:r>
    </w:p>
    <w:p>
      <w:r>
        <w:rPr>
          <w:b/>
        </w:rPr>
        <w:t>Γ_G, geometric.</w:t>
      </w:r>
      <w:r>
        <w:t xml:space="preserve"> Device-to-vessel diameter ratio against the bed's own band, with asymmetric penalties above and below it (undersizing bites harder than oversizing); edge coverage margin, penalised steeply for geographic miss and gently for needless edge injury; conformability against tortuosity; and the residual mismatch a straight device leaves in a tapering vessel. For a device that leaves nothing behind, the geometric question is whether the balloon was sized correctly at inflation — what recoil then costs is charged to Γ_H as residual lumen, not twice.</w:t>
      </w:r>
    </w:p>
    <w:p>
      <w:r>
        <w:rPr>
          <w:b/>
        </w:rPr>
        <w:t>Γ_M, mechanical.</w:t>
      </w:r>
      <w:r>
        <w:t xml:space="preserve"> Compliance mismatch between device and wall, where wall compliance falls with calcium and device compliance for a resorbable scaffold relaxes toward the wall's with its degradation time constant; overstretch wall stress against a calcium-dependent tolerable strain; and cyclic fatigue, which accrues over the first year in proportion to the bed's deformation burden, the device's fatigue resistance and the implanted length. A device that leaves nothing behind is, by construction, a perfect compliance match — which is why the classic drug-coated balloon trade-off falls out of the model rather than being written into it: perfect on Γ_M, unhelped against recoil on Γ_G and Γ_H.</w:t>
      </w:r>
    </w:p>
    <w:p>
      <w:r>
        <w:rPr>
          <w:b/>
        </w:rPr>
        <w:t>Γ_H, hemodynamic.</w:t>
      </w:r>
      <w:r>
        <w:t xml:space="preserve"> Flow lumen restored, computed from the deployed diameter less struts and the neointima that grows on them, against the reference; strut flow disturbance, scaled by strut thickness over calibre and by the bed's baseline shear, decaying as struts are covered; and branch cost, for a covered device across a branch that matters, a stented bifurcation, or a peripheral lesion with poor runoff.</w:t>
      </w:r>
    </w:p>
    <w:p>
      <w:r>
        <w:rPr>
          <w:b/>
        </w:rPr>
        <w:t>Γ_B, biological.</w:t>
      </w:r>
      <w:r>
        <w:t xml:space="preserve"> Antiproliferative supply against neointimal drive. Drive is the bed's proliferative propensity scaled by diabetes, inflammatory burden and the barotrauma the plan delivers; supply is the device's drug concentration decaying with its retention constant. What is penalised is the </w:t>
      </w:r>
      <w:r>
        <w:rPr>
          <w:i/>
        </w:rPr>
        <w:t>fraction</w:t>
      </w:r>
      <w:r>
        <w:t xml:space="preserve"> of drive left unopposed, not its absolute size, so a drug outliving its stimulus earns nothing. A second term charges the healing window: the period struts stay uncovered, lengthened by the drug and by strut thickness, and for a resorbable device the agreement between resorption and healing timescales.</w:t>
      </w:r>
    </w:p>
    <w:p>
      <w:r>
        <w:t>The four axes are a refinement of the three ecological balances — mechanical, cellular, and physicochemical–immune — in which the framework was originally stated [1] and subsequently developed [2, 3]. The mapping is not one to one, and the difference is deliberate: the geometric and hemodynamic axes separate two things the mechanical balance conflated, namely whether the device fits the vessel and whether the lumen it leaves carries flow. §4 reports that the corrected calibration does not currently need the mechanical axis, which is a result about this operator and this endpoint, not about the balances.</w:t>
      </w:r>
    </w:p>
    <w:p>
      <w:pPr>
        <w:pStyle w:val="Heading2"/>
      </w:pPr>
      <w:r>
        <w:t>2.2 Composition</w:t>
      </w:r>
    </w:p>
    <w:p>
      <w:pPr>
        <w:spacing w:after="20"/>
      </w:pPr>
      <w:r>
        <w:rPr>
          <w:rFonts w:ascii="Consolas" w:hAnsi="Consolas"/>
          <w:sz w:val="19"/>
        </w:rPr>
        <w:t>Γ_sc(x, a, t) = Π_i Γ_i(x, a, t)^{w_i(bed)},   Σ_i w_i = 1</w:t>
      </w:r>
    </w:p>
    <w:p>
      <w:r>
        <w:t xml:space="preserve">The geometric mean is the modelling commitment, not a convenience — but it has to be stated precisely, because the strong version of the claim is false. A weighted geometric mean is still compensatory: with exponents between 0.16 and 0.36, a collapse on one axis is attenuated by a root rather than preserved. BTK-POBA has Γ_H = 5.1 × 10⁻⁴ and Γ_sc = 0.056, so a two-thousand-fold collapse on one axis becomes an eighteen-fold reduction in the composite. What can honestly be claimed is that the product is </w:t>
      </w:r>
      <w:r>
        <w:rPr>
          <w:i/>
        </w:rPr>
        <w:t>less</w:t>
      </w:r>
      <w:r>
        <w:t xml:space="preserve"> compensatory than a weighted sum — a bad axis drags the composite down instead of being averaged away — and that is the property we want. Genuine non-compensation would need a minimum, or a CES aggregator with ρ → −∞. Weights are bed-specific and declared: the mechanical axis carries the largest weight in the femoropopliteal artery, where stent fracture is a real failure mode; the geometric axis carries it in the carotid, where large deliberate oversizing is the technique.</w:t>
      </w:r>
    </w:p>
    <w:p>
      <w:pPr>
        <w:pStyle w:val="Heading2"/>
      </w:pPr>
      <w:r>
        <w:t>2.3 Time, and τ_sc</w:t>
      </w:r>
    </w:p>
    <w:p>
      <w:r>
        <w:t>Γ_sc is evaluated on a day grid to two years. Two scalars are read off it:</w:t>
      </w:r>
    </w:p>
    <w:p>
      <w:pPr>
        <w:spacing w:after="20"/>
      </w:pPr>
      <w:r>
        <w:rPr>
          <w:rFonts w:ascii="Consolas" w:hAnsi="Consolas"/>
          <w:sz w:val="19"/>
        </w:rPr>
        <w:t>τ_sc : the time t at which ∫₀^t |dΓ_sc/ds| ds = 0.632 · ∫₀^T |dΓ_sc/ds| ds</w:t>
      </w:r>
    </w:p>
    <w:p>
      <w:pPr>
        <w:spacing w:after="20"/>
      </w:pPr>
      <w:r>
        <w:rPr>
          <w:rFonts w:ascii="Consolas" w:hAnsi="Consolas"/>
          <w:sz w:val="19"/>
        </w:rPr>
        <w:t>D_T  : (1/T) ∫₀^T (1 − Γ_sc(t)) dt</w:t>
      </w:r>
    </w:p>
    <w:p>
      <w:r>
        <w:t>τ_sc is defined on total variation rather than on a monotone approach to an asymptote, so it stays well defined when the trajectory is non-monotone, which it routinely is. It separates devices that are indistinguishable at implantation (Figure 1b): in the same coronary lesion a paclitaxel-coated balloon has τ_sc = 124 days while an ultrathin-strut drug-eluting stent has τ_sc = 261 days — the balloon's fate is largely settled in the first four months, the stent's is not. The two are not indistinguishable at implantation (Γ_sc(0) 0.801 against 0.857), but the gap at implantation is small next to the difference in how fast each one gets there.</w:t>
      </w:r>
    </w:p>
    <w:p>
      <w:pPr>
        <w:pStyle w:val="Heading2"/>
      </w:pPr>
      <w:r>
        <w:t>2.4 Hazard link</w:t>
      </w:r>
    </w:p>
    <w:p>
      <w:pPr>
        <w:spacing w:after="20"/>
      </w:pPr>
      <w:r>
        <w:rPr>
          <w:rFonts w:ascii="Consolas" w:hAnsi="Consolas"/>
          <w:sz w:val="19"/>
        </w:rPr>
        <w:t>λ(t) = λ₀(bed) · exp(β · (Γ*_bed − Γ_sc(t)))</w:t>
      </w:r>
    </w:p>
    <w:p>
      <w:r>
        <w:t>λ₀ is the bed's published best-practice 12-month clinically driven TLR. Γ</w:t>
      </w:r>
      <w:r>
        <w:rPr>
          <w:i/>
        </w:rPr>
        <w:t xml:space="preserve">_bed is </w:t>
      </w:r>
      <w:r>
        <w:rPr>
          <w:i/>
        </w:rPr>
        <w:t>not</w:t>
      </w:r>
      <w:r>
        <w:rPr>
          <w:i/>
        </w:rPr>
        <w:t xml:space="preserve"> a global constant: it is the year-one mean match that the bed's own reference device attains under the current parameters. Anchoring per bed was necessary rather than cosmetic — best practice does not reach the same absolute Γ_sc in every bed, and a global Γ</w:t>
      </w:r>
      <w:r>
        <w:t xml:space="preserve"> forced the fit to over-predict systematically where the achievable match is lowest.</w:t>
      </w:r>
    </w:p>
    <w:p>
      <w:pPr>
        <w:pStyle w:val="Heading1"/>
      </w:pPr>
      <w:r>
        <w:t>3. An audit of the literature values</w:t>
      </w:r>
    </w:p>
    <w:p>
      <w:pPr>
        <w:pStyle w:val="Heading2"/>
      </w:pPr>
      <w:r>
        <w:t>3.1 Why this section exists</w:t>
      </w:r>
    </w:p>
    <w:p>
      <w:r>
        <w:t>A mechanistic model of device–vessel matching is only as good as the outcome rates it is tied to, and those rates are the part of such a paper that is least often checked. We built a first anchor set of sixteen 12-month event rates across six beds in the ordinary way: from the interventional literature as the author remembered and re-read it, each with a note on its justification and a subjective trust weight.</w:t>
      </w:r>
    </w:p>
    <w:p>
      <w:r>
        <w:t xml:space="preserve">We then audited it adversarially. Each anchor was given to an independent literature agent tasked with finding and </w:t>
      </w:r>
      <w:r>
        <w:rPr>
          <w:i/>
        </w:rPr>
        <w:t>opening</w:t>
      </w:r>
      <w:r>
        <w:t xml:space="preserve"> the primary source, forbidden from inventing any identifier, and required to report the number and the endpoint exactly as the source words them. Every citation that came back was then attacked by two further independent checkers with different briefs — one asked only whether the citation exists and says this, the other only whether the endpoint, timepoint and population are the ones claimed — each instructed to default to refutation when unsure. </w:t>
      </w:r>
      <w:r>
        <w:rPr>
          <w:b/>
        </w:rPr>
        <w:t>The audit was run by large language model agents, not by people</w:t>
      </w:r>
      <w:r>
        <w:t xml:space="preserve">, and that has to be stated plainly because it changes how much weight the result can carry. Forty-nine agents (Claude Opus 5, with web search and page-fetch tools) performed 696 source lookups; each was instructed to open the primary source, forbidden from inventing an identifier, and required to quote the sentence or name the table carrying the number. The original sixteen anchors were themselves assembled with the same class of assistance. So the honest statement of what happened is that an LLM-assisted workflow produced sixteen values, a second, adversarial LLM-assisted workflow found fourteen of them wrong, and </w:t>
      </w:r>
      <w:r>
        <w:rPr>
          <w:b/>
        </w:rPr>
        <w:t>the corrected values have not yet been confirmed by a human opening the papers.</w:t>
      </w:r>
      <w:r>
        <w:t xml:space="preserve"> Until that human pass exists, the corrected set is better documented than the first one but not, on its own authority, better grounded. Doing that pass — twelve papers, an hour — is the single highest-value thing anyone could do to this manuscript, and it is listed in §7 as such.</w:t>
      </w:r>
    </w:p>
    <w:p>
      <w:pPr>
        <w:pStyle w:val="Heading2"/>
      </w:pPr>
      <w:r>
        <w:t>3.2 What the audit found</w:t>
      </w:r>
    </w:p>
    <w:p>
      <w:r>
        <w:rPr>
          <w:b/>
        </w:rPr>
        <w:t>Three of the sixteen survived, and then one of those three moved too.</w:t>
      </w:r>
      <w:r>
        <w:t xml:space="preserve"> Two criteria have to be kept apart here, because conflating them is the very failure this section is about. On </w:t>
      </w:r>
      <w:r>
        <w:rPr>
          <w:i/>
        </w:rPr>
        <w:t>citation integrity</w:t>
      </w:r>
      <w:r>
        <w:t xml:space="preserve"> — the paper exists, the identifier resolves, the value is transcribed correctly — the per-bed flags were coronary 1 of 7, femoropopliteal 3 of 4, carotid 1 of 1, below-the-knee 1 of 2, iliac 0 of 1, renal 0 of 1: six of sixteen. On </w:t>
      </w:r>
      <w:r>
        <w:rPr>
          <w:i/>
        </w:rPr>
        <w:t>value support</w:t>
      </w:r>
      <w:r>
        <w:t xml:space="preserve"> — the source reports this number at a commensurable 12-month endpoint — three survived: COR-BRS-plla, SFA-DCB and SFA-POBA, two of them the two arms of one trial.</w:t>
      </w:r>
    </w:p>
    <w:p>
      <w:r>
        <w:t xml:space="preserve">Then applying our own stated preference for clinically driven TLR moved COR-BRS-plla as well, because its asserted 7.8% is ABSORB III's TLF composite and that trial's ischaemia-driven TLR is 3.0%. </w:t>
      </w:r>
      <w:r>
        <w:rPr>
          <w:b/>
        </w:rPr>
        <w:t>Two values survived into the final anchor set unchanged: SFA-DCB and SFA-POBA. One trial, two numbers.</w:t>
      </w:r>
      <w:r>
        <w:t xml:space="preserve"> That is what the original calibration actually rested on.</w:t>
      </w:r>
    </w:p>
    <w:p>
      <w:r>
        <w:rPr>
          <w:b/>
        </w:rPr>
        <w:t>Fourteen of the sixteen values changed, every one of them downward</w:t>
      </w:r>
      <w:r>
        <w:t>, by factors of 1.02 to 5.83 — thirteen because the source reports something else, and COR-BRS-plla because we fixed the endpoint. The direction is uniform and the magnitudes are not, so this is not a scale factor a shared intercept can absorb: it distorts the ordering of the anchors relative to one another, which is exactly what a cross-bed shared-parameter fit depends on.</w:t>
      </w:r>
    </w:p>
    <w:p>
      <w:r>
        <w:rPr>
          <w:b/>
        </w:rPr>
        <w:t>Five were endpoint substitutions</w:t>
      </w:r>
      <w:r>
        <w:t>, recoverable exactly from a different endpoint in the correctly cited paper (Table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anchor</w:t>
            </w:r>
          </w:p>
        </w:tc>
        <w:tc>
          <w:tcPr>
            <w:tcW w:type="dxa" w:w="2160"/>
          </w:tcPr>
          <w:p>
            <w:r>
              <w:rPr>
                <w:b/>
                <w:sz w:val="18"/>
              </w:rPr>
            </w:r>
            <w:r>
              <w:rPr>
                <w:b/>
                <w:sz w:val="18"/>
              </w:rPr>
              <w:t>asserted</w:t>
            </w:r>
          </w:p>
        </w:tc>
        <w:tc>
          <w:tcPr>
            <w:tcW w:type="dxa" w:w="2160"/>
          </w:tcPr>
          <w:p>
            <w:r>
              <w:rPr>
                <w:b/>
                <w:sz w:val="18"/>
              </w:rPr>
            </w:r>
            <w:r>
              <w:rPr>
                <w:b/>
                <w:sz w:val="18"/>
              </w:rPr>
              <w:t>is actually</w:t>
            </w:r>
          </w:p>
        </w:tc>
        <w:tc>
          <w:tcPr>
            <w:tcW w:type="dxa" w:w="2160"/>
          </w:tcPr>
          <w:p>
            <w:r>
              <w:rPr>
                <w:b/>
                <w:sz w:val="18"/>
              </w:rPr>
            </w:r>
            <w:r>
              <w:rPr>
                <w:b/>
                <w:sz w:val="18"/>
              </w:rPr>
              <w:t>correct value</w:t>
            </w:r>
          </w:p>
        </w:tc>
      </w:tr>
      <w:tr>
        <w:tc>
          <w:tcPr>
            <w:tcW w:type="dxa" w:w="2160"/>
          </w:tcPr>
          <w:p>
            <w:r>
              <w:rPr>
                <w:sz w:val="18"/>
              </w:rPr>
            </w:r>
            <w:r>
              <w:rPr>
                <w:sz w:val="18"/>
              </w:rPr>
              <w:t>SFA-long-bare</w:t>
            </w:r>
          </w:p>
        </w:tc>
        <w:tc>
          <w:tcPr>
            <w:tcW w:type="dxa" w:w="2160"/>
          </w:tcPr>
          <w:p>
            <w:r>
              <w:rPr>
                <w:sz w:val="18"/>
              </w:rPr>
            </w:r>
            <w:r>
              <w:rPr>
                <w:sz w:val="18"/>
              </w:rPr>
              <w:t>0.350</w:t>
            </w:r>
          </w:p>
        </w:tc>
        <w:tc>
          <w:tcPr>
            <w:tcW w:type="dxa" w:w="2160"/>
          </w:tcPr>
          <w:p>
            <w:r>
              <w:rPr>
                <w:sz w:val="18"/>
              </w:rPr>
            </w:r>
            <w:r>
              <w:rPr>
                <w:sz w:val="18"/>
              </w:rPr>
              <w:t xml:space="preserve">100 − 64.8, primary </w:t>
            </w:r>
            <w:r>
              <w:rPr>
                <w:i/>
                <w:sz w:val="18"/>
              </w:rPr>
              <w:t>patency</w:t>
            </w:r>
            <w:r>
              <w:rPr>
                <w:sz w:val="18"/>
              </w:rPr>
              <w:t xml:space="preserve"> loss</w:t>
            </w:r>
          </w:p>
        </w:tc>
        <w:tc>
          <w:tcPr>
            <w:tcW w:type="dxa" w:w="2160"/>
          </w:tcPr>
          <w:p>
            <w:r>
              <w:rPr>
                <w:sz w:val="18"/>
              </w:rPr>
            </w:r>
            <w:r>
              <w:rPr>
                <w:sz w:val="18"/>
              </w:rPr>
              <w:t>TLR 0.318</w:t>
            </w:r>
          </w:p>
        </w:tc>
      </w:tr>
      <w:tr>
        <w:tc>
          <w:tcPr>
            <w:tcW w:type="dxa" w:w="2160"/>
          </w:tcPr>
          <w:p>
            <w:r>
              <w:rPr>
                <w:sz w:val="18"/>
              </w:rPr>
            </w:r>
            <w:r>
              <w:rPr>
                <w:sz w:val="18"/>
              </w:rPr>
              <w:t>RENAL-stent</w:t>
            </w:r>
          </w:p>
        </w:tc>
        <w:tc>
          <w:tcPr>
            <w:tcW w:type="dxa" w:w="2160"/>
          </w:tcPr>
          <w:p>
            <w:r>
              <w:rPr>
                <w:sz w:val="18"/>
              </w:rPr>
            </w:r>
            <w:r>
              <w:rPr>
                <w:sz w:val="18"/>
              </w:rPr>
              <w:t>0.140</w:t>
            </w:r>
          </w:p>
        </w:tc>
        <w:tc>
          <w:tcPr>
            <w:tcW w:type="dxa" w:w="2160"/>
          </w:tcPr>
          <w:p>
            <w:r>
              <w:rPr>
                <w:sz w:val="18"/>
              </w:rPr>
            </w:r>
            <w:r>
              <w:rPr>
                <w:sz w:val="18"/>
              </w:rPr>
              <w:t>one-sided 95% upper bound of 9-month binary restenosis (point estimate 10.5%)</w:t>
            </w:r>
          </w:p>
        </w:tc>
        <w:tc>
          <w:tcPr>
            <w:tcW w:type="dxa" w:w="2160"/>
          </w:tcPr>
          <w:p>
            <w:r>
              <w:rPr>
                <w:sz w:val="18"/>
              </w:rPr>
            </w:r>
            <w:r>
              <w:rPr>
                <w:sz w:val="18"/>
              </w:rPr>
              <w:t>CD-TLR 0.059</w:t>
            </w:r>
          </w:p>
        </w:tc>
      </w:tr>
      <w:tr>
        <w:tc>
          <w:tcPr>
            <w:tcW w:type="dxa" w:w="2160"/>
          </w:tcPr>
          <w:p>
            <w:r>
              <w:rPr>
                <w:sz w:val="18"/>
              </w:rPr>
            </w:r>
            <w:r>
              <w:rPr>
                <w:sz w:val="18"/>
              </w:rPr>
              <w:t>CAR-stent</w:t>
            </w:r>
          </w:p>
        </w:tc>
        <w:tc>
          <w:tcPr>
            <w:tcW w:type="dxa" w:w="2160"/>
          </w:tcPr>
          <w:p>
            <w:r>
              <w:rPr>
                <w:sz w:val="18"/>
              </w:rPr>
            </w:r>
            <w:r>
              <w:rPr>
                <w:sz w:val="18"/>
              </w:rPr>
              <w:t>0.035</w:t>
            </w:r>
          </w:p>
        </w:tc>
        <w:tc>
          <w:tcPr>
            <w:tcW w:type="dxa" w:w="2160"/>
          </w:tcPr>
          <w:p>
            <w:r>
              <w:rPr>
                <w:sz w:val="18"/>
              </w:rPr>
            </w:r>
            <w:r>
              <w:rPr>
                <w:sz w:val="18"/>
              </w:rPr>
              <w:t xml:space="preserve">the trial's primary composite </w:t>
            </w:r>
            <w:r>
              <w:rPr>
                <w:i/>
                <w:sz w:val="18"/>
              </w:rPr>
              <w:t>safety</w:t>
            </w:r>
            <w:r>
              <w:rPr>
                <w:sz w:val="18"/>
              </w:rPr>
              <w:t xml:space="preserve"> endpoint</w:t>
            </w:r>
          </w:p>
        </w:tc>
        <w:tc>
          <w:tcPr>
            <w:tcW w:type="dxa" w:w="2160"/>
          </w:tcPr>
          <w:p>
            <w:r>
              <w:rPr>
                <w:sz w:val="18"/>
              </w:rPr>
            </w:r>
            <w:r>
              <w:rPr>
                <w:sz w:val="18"/>
              </w:rPr>
              <w:t>CD-TLR 0.006</w:t>
            </w:r>
          </w:p>
        </w:tc>
      </w:tr>
      <w:tr>
        <w:tc>
          <w:tcPr>
            <w:tcW w:type="dxa" w:w="2160"/>
          </w:tcPr>
          <w:p>
            <w:r>
              <w:rPr>
                <w:sz w:val="18"/>
              </w:rPr>
            </w:r>
            <w:r>
              <w:rPr>
                <w:sz w:val="18"/>
              </w:rPr>
              <w:t>COR-POBA</w:t>
            </w:r>
          </w:p>
        </w:tc>
        <w:tc>
          <w:tcPr>
            <w:tcW w:type="dxa" w:w="2160"/>
          </w:tcPr>
          <w:p>
            <w:r>
              <w:rPr>
                <w:sz w:val="18"/>
              </w:rPr>
            </w:r>
            <w:r>
              <w:rPr>
                <w:sz w:val="18"/>
              </w:rPr>
              <w:t>0.320</w:t>
            </w:r>
          </w:p>
        </w:tc>
        <w:tc>
          <w:tcPr>
            <w:tcW w:type="dxa" w:w="2160"/>
          </w:tcPr>
          <w:p>
            <w:r>
              <w:rPr>
                <w:sz w:val="18"/>
              </w:rPr>
            </w:r>
            <w:r>
              <w:rPr>
                <w:sz w:val="18"/>
              </w:rPr>
              <w:t xml:space="preserve">6-month </w:t>
            </w:r>
            <w:r>
              <w:rPr>
                <w:i/>
                <w:sz w:val="18"/>
              </w:rPr>
              <w:t>angiographic</w:t>
            </w:r>
            <w:r>
              <w:rPr>
                <w:sz w:val="18"/>
              </w:rPr>
              <w:t xml:space="preserve"> restenosis in the </w:t>
            </w:r>
            <w:r>
              <w:rPr>
                <w:i/>
                <w:sz w:val="18"/>
              </w:rPr>
              <w:t>stent</w:t>
            </w:r>
            <w:r>
              <w:rPr>
                <w:sz w:val="18"/>
              </w:rPr>
              <w:t xml:space="preserve"> arm</w:t>
            </w:r>
          </w:p>
        </w:tc>
        <w:tc>
          <w:tcPr>
            <w:tcW w:type="dxa" w:w="2160"/>
          </w:tcPr>
          <w:p>
            <w:r>
              <w:rPr>
                <w:sz w:val="18"/>
              </w:rPr>
            </w:r>
            <w:r>
              <w:rPr>
                <w:sz w:val="18"/>
              </w:rPr>
              <w:t>1-y symptom-driven TLR 0.170</w:t>
            </w:r>
          </w:p>
        </w:tc>
      </w:tr>
      <w:tr>
        <w:tc>
          <w:tcPr>
            <w:tcW w:type="dxa" w:w="2160"/>
          </w:tcPr>
          <w:p>
            <w:r>
              <w:rPr>
                <w:sz w:val="18"/>
              </w:rPr>
            </w:r>
            <w:r>
              <w:rPr>
                <w:sz w:val="18"/>
              </w:rPr>
              <w:t>ILIAC-stent</w:t>
            </w:r>
          </w:p>
        </w:tc>
        <w:tc>
          <w:tcPr>
            <w:tcW w:type="dxa" w:w="2160"/>
          </w:tcPr>
          <w:p>
            <w:r>
              <w:rPr>
                <w:sz w:val="18"/>
              </w:rPr>
            </w:r>
            <w:r>
              <w:rPr>
                <w:sz w:val="18"/>
              </w:rPr>
              <w:t>0.045</w:t>
            </w:r>
          </w:p>
        </w:tc>
        <w:tc>
          <w:tcPr>
            <w:tcW w:type="dxa" w:w="2160"/>
          </w:tcPr>
          <w:p>
            <w:r>
              <w:rPr>
                <w:sz w:val="18"/>
              </w:rPr>
            </w:r>
            <w:r>
              <w:rPr>
                <w:sz w:val="18"/>
              </w:rPr>
              <w:t>midpoint of CD-TLR (2.8%) and duplex restenosis (6.1%)</w:t>
            </w:r>
          </w:p>
        </w:tc>
        <w:tc>
          <w:tcPr>
            <w:tcW w:type="dxa" w:w="2160"/>
          </w:tcPr>
          <w:p>
            <w:r>
              <w:rPr>
                <w:sz w:val="18"/>
              </w:rPr>
            </w:r>
            <w:r>
              <w:rPr>
                <w:sz w:val="18"/>
              </w:rPr>
              <w:t>CD-TLR 0.028</w:t>
            </w:r>
          </w:p>
        </w:tc>
      </w:tr>
    </w:tbl>
    <w:p/>
    <w:p>
      <w:r>
        <w:t xml:space="preserve">and a sixth, BTK-DCB at 0.120, was the midpoint of the two </w:t>
      </w:r>
      <w:r>
        <w:rPr>
          <w:i/>
        </w:rPr>
        <w:t>arms</w:t>
      </w:r>
      <w:r>
        <w:t xml:space="preserve"> of one trial (9.2% and 13.1%). None of these is a typing mistake. Each is a plausible number from the right paper, and each was reachable by someone reading that paper without holding the endpoint definition fixed.</w:t>
      </w:r>
    </w:p>
    <w:p>
      <w:r>
        <w:rPr>
          <w:b/>
        </w:rPr>
        <w:t>The endpoint was not held constant, and could not have been.</w:t>
      </w:r>
      <w:r>
        <w:t xml:space="preserve"> Within ABSORB III, TLF is 7.8% and ischaemia-driven TLR is 3.0%; within BIOFLOW V, TLF is 6.2% and CD-TLR is 2.0%. A stated endpoint of "CD-TLR or TLF" permits a 2–3× choice at every row. The original set in fact spanned five constructs — CD-TLR, TLF composites, all-cause TLR, symptom-driven TLR and vessel-level TVF — and three time windows (312, 365 and 390 days). That sentence has been deleted from this paper rather than repaired.</w:t>
      </w:r>
    </w:p>
    <w:p>
      <w:r>
        <w:rPr>
          <w:b/>
        </w:rPr>
        <w:t>The survival pattern was the opposite of what we expected.</w:t>
      </w:r>
      <w:r>
        <w:t xml:space="preserve"> On either criterion the direction is the same: coronary was the worst-sourced bed in the set and femoropopliteal the best — 1 of 7 against 3 of 4 on citation integrity, 0 of 7 against 2 of 4 on value support. Roughly 74% of the original calibration weight rested on values the sources do not report, concentrated in the bed the author knows best.</w:t>
      </w:r>
    </w:p>
    <w:p>
      <w:pPr>
        <w:pStyle w:val="Heading2"/>
      </w:pPr>
      <w:r>
        <w:t>3.3 What we did about it</w:t>
      </w:r>
    </w:p>
    <w:p>
      <w:r>
        <w:t>Every anchor now declares seven provenance fields — endpoint construct, trigger (clinical vs protocol surveillance vs routine angiography), adjudication (independent committee, core laboratory, or none stated), estimator, analysis unit (patient, lesion or vessel), actual time window in days, and design. One construct is preferred, 12-month clinically driven TLR; anchors reporting all-cause or symptom-driven TLR are labelled and down-weighted rather than silently pooled. Four anchors were excluded from the fit and are kept in the table so that what was dropped stays visible: COR-undersized (vessel-level TVF, and stent under-</w:t>
      </w:r>
      <w:r>
        <w:rPr>
          <w:i/>
        </w:rPr>
        <w:t>expansion</w:t>
      </w:r>
      <w:r>
        <w:t xml:space="preserve"> against an absolute area cut-off is not under-</w:t>
      </w:r>
      <w:r>
        <w:rPr>
          <w:i/>
        </w:rPr>
        <w:t>sizing</w:t>
      </w:r>
      <w:r>
        <w:t xml:space="preserve">), SFA-long-bare (surveillance-triggered all-cause TLR, single-arm), COR-DES-complex and COR-DCB-small (TLF composites, secondary or post hoc). Trust weight now encodes audited evidence quality rather than author confidence. </w:t>
      </w:r>
      <w:r>
        <w:rPr>
          <w:b/>
        </w:rPr>
        <w:t>Five of the six beds' λ₀ values were revised downward; the femoropopliteal baseline was unchanged</w:t>
      </w:r>
      <w:r>
        <w:t>, because its reference arm is the one that survived the audit — the asymmetry matters, and averaging it away would hide it.</w:t>
      </w:r>
    </w:p>
    <w:p>
      <w:pPr>
        <w:pStyle w:val="Heading2"/>
      </w:pPr>
      <w:r>
        <w:t>3.4 What we take from it</w:t>
      </w:r>
    </w:p>
    <w:p>
      <w:r>
        <w:t>The audit is, we think, the most transferable part of this paper. Device-outcome numbers are quoted across the interventional literature without their endpoint construct attached, and once detached they are freely substitutable for each other by a reader acting in good faith. The five substitutions above were each internally reasonable. The defence is not more care; it is carrying the construct, trigger, adjudication, unit and window next to every number, so that a mismatch is visible rather than invisible. Any comparative model built on pooled device outcomes — not only this one — should be expected to show the provenance fields, and should be assumed to have this problem until it does.</w:t>
      </w:r>
    </w:p>
    <w:p>
      <w:pPr>
        <w:pStyle w:val="Heading1"/>
      </w:pPr>
      <w:r>
        <w:t>4. Calibration</w:t>
      </w:r>
    </w:p>
    <w:p>
      <w:r>
        <w:t>Eleven of the thirteen free constants were fitted to the 12 retained anchors by least squares on log-odds, weighted by audited evidence quality. One shared parameter set; no per-bed tuning.</w:t>
      </w:r>
    </w:p>
    <w:p>
      <w:r>
        <w:rPr>
          <w:b/>
        </w:rPr>
        <w:t>Mean absolute error 1.4 percentage points</w:t>
      </w:r>
      <w:r>
        <w:t xml:space="preserve"> over the twelve retained anchors, worst residual 4.3 points on BTK-POBA (Figure 2). </w:t>
      </w:r>
      <w:r>
        <w:rPr>
          <w:b/>
        </w:rPr>
        <w:t>Half of that figure is an identity.</w:t>
      </w:r>
      <w:r>
        <w:t xml:space="preserve"> Six of the twelve anchors — COR-DES-modern, SFA-DCB, BTK-DCB, CAR-stent, ILIAC-stent and RENAL-stent — </w:t>
      </w:r>
      <w:r>
        <w:rPr>
          <w:i/>
        </w:rPr>
        <w:t>are</w:t>
      </w:r>
      <w:r>
        <w:t xml:space="preserve"> their bed's reference case, the case used to compute Γ</w:t>
      </w:r>
      <w:r>
        <w:rPr>
          <w:i/>
        </w:rPr>
        <w:t>(bed), so for them λ(t) = λ₀·exp(β(Γ</w:t>
      </w:r>
      <w:r>
        <w:t xml:space="preserve">−Γ_sc(t))) returns λ₀ up to a small Jensen gap whatever the eleven constants are. Their mean residual is 0.4 points. On the six anchors that are genuinely informative — COR-BRS-plla, COR-BMS, COR-POBA, SFA-POBA, SFA-nitinol, BTK-POBA — the mean absolute error is </w:t>
      </w:r>
      <w:r>
        <w:rPr>
          <w:b/>
        </w:rPr>
        <w:t>2.3 percentage points</w:t>
      </w:r>
      <w:r>
        <w:t>, and that is the number a reader should hold us to.</w:t>
      </w:r>
    </w:p>
    <w:p>
      <w:r>
        <w:t xml:space="preserve">What that number is not. Six of the twelve anchors are their bed's reference case, as above. Carotid, iliac and renal contribute exactly one anchor each, which is also that bed's λ₀, so those three beds are fitted trivially and constrain nothing about the operator's shape. Four of the retained anchors are two arms each of two trials (IN.PACT SFA, IN.PACT DEEP), both Medtronic paclitaxel DCB randomised trials sharing sites, adjudication committee and CD-TLR trigger definition, so their errors are correlated and they are not four independent residuals. The fit is really driven by six informative comparisons — against eleven free constants. </w:t>
      </w:r>
      <w:r>
        <w:rPr>
          <w:b/>
        </w:rPr>
        <w:t>An MAE of 1.4 points is therefore not evidence that the operator is right.</w:t>
      </w:r>
      <w:r>
        <w:t xml:space="preserve"> With more free parameters than informative constraints, a low residual is what one should expect, and we report it as a consistency check rather than as performance.</w:t>
      </w:r>
    </w:p>
    <w:p>
      <w:r>
        <w:rPr>
          <w:b/>
        </w:rPr>
        <w:t>Seven of the eleven fitted constants sit on their bounds</w:t>
      </w:r>
      <w:r>
        <w:t xml:space="preserve">, which is the clearest signal in the fit and points at the model rather than at the data. Γ_M is built from three kernels and all three are degenerate: the compliance-mismatch and overstretch kernels collapse to their floors, and the cyclic-fatigue kernel is pinned at its </w:t>
      </w:r>
      <w:r>
        <w:rPr>
          <w:i/>
        </w:rPr>
        <w:t>ceiling</w:t>
      </w:r>
      <w:r>
        <w:t xml:space="preserve"> (11.999 against a bound of 12.0). We report the ceiling as well as the floors, because omitting it would be exactly the selective reading of a bounds table that this paper otherwise argues against.</w:t>
      </w:r>
    </w:p>
    <w:p>
      <w:r>
        <w:t xml:space="preserve">We then did the obvious test and it went against us. </w:t>
      </w:r>
      <w:r>
        <w:rPr>
          <w:b/>
        </w:rPr>
        <w:t>Setting Γ_M ≡ 1 for every anchor improves the fit</w:t>
      </w:r>
      <w:r>
        <w:t>: mean absolute error falls from 1.37 to 1.32 points, and the residual on SFA-nitinol — the one anchor the fatigue term exists to explain — falls from 1.39 to 0.54 points. The saturated fatigue term is pushing its own anchor the wrong way. The mechanical axis is therefore not merely never binding; on this endpoint it is actively harmful.</w:t>
      </w:r>
    </w:p>
    <w:p>
      <w:r>
        <w:t>Three readings are available and these data cannot separate them. The axis may be empty. Its functional forms may be wrong, which the pinned bounds independently suggest. Or — the reading we find most likely, and which §7 is designed to test — a 12-month revascularisation endpoint simply cannot see it: compliance convergence, fatigue accrual and resorption are slow, a poly-L-lactide scaffold's compliance approaches the wall's only over two to three years, and an axis whose predictions live in years 2 to 5 cannot be identified from year-one revascularisation. What is not available is presenting the four-axis structure as established by this calibration. It is not.</w:t>
      </w:r>
    </w:p>
    <w:p>
      <w:r>
        <w:t>Within a bed, the device-versus-balloon contrast is same-trial and self-consistent. Across beds it is not: coronary POBA is 1991–93, symptom-driven, without routine surveillance, while femoropopliteal POBA is 2015 with committee-adjudicated CD-TLR. Any bed gradient the model learns carries 22 years of era effect and a change of endpoint definition inside it. We report this rather than adjusting for it, because we do not know how to adjust for it honestly.</w:t>
      </w:r>
    </w:p>
    <w:p>
      <w:pPr>
        <w:pStyle w:val="Heading1"/>
      </w:pPr>
      <w:r>
        <w:t>5. In-silico evaluation</w:t>
      </w:r>
    </w:p>
    <w:p>
      <w:pPr>
        <w:pStyle w:val="Heading2"/>
      </w:pPr>
      <w:r>
        <w:t>5.1 What this section can and cannot show</w:t>
      </w:r>
    </w:p>
    <w:p>
      <w:r>
        <w:t xml:space="preserve">Outcomes here are generated by the same operator that one of the candidate representations consumes. No experiment in this section can show that Γ_sc is true of patients. It can show a property of the </w:t>
      </w:r>
      <w:r>
        <w:rPr>
          <w:i/>
        </w:rPr>
        <w:t>representation</w:t>
      </w:r>
      <w:r>
        <w:t>: whether a physics-parameterised summary behaves differently from raw features when both are given the same information, seen through realistic measurement error, with an unobserved patient-level frailty term neither can access.</w:t>
      </w:r>
    </w:p>
    <w:p>
      <w:pPr>
        <w:pStyle w:val="Heading2"/>
      </w:pPr>
      <w:r>
        <w:t>5.2 Design</w:t>
      </w:r>
    </w:p>
    <w:p>
      <w:r>
        <w:t xml:space="preserve">9,000 procedures were sampled across six beds with deliberately varied plans spanning good and bad matches. True 12-month risk was computed, scaled by a log-normal frailty multiplier (σ = 0.55) appearing in no feature set, and an event drawn. Features were then </w:t>
      </w:r>
      <w:r>
        <w:rPr>
          <w:i/>
        </w:rPr>
        <w:t>re-measured</w:t>
      </w:r>
      <w:r>
        <w:t>: diameters with 0.16–0.35 mm of Gaussian error, length with 12% proportional error, calcium and tortuosity coarsened to the grades actually recorded in practice. Candidates saw only the re-measured lesion, so the operator arm had to recompute Γ_sc from noisy inputs.</w:t>
      </w:r>
    </w:p>
    <w:p>
      <w:r>
        <w:t>Four representations of the same information: (A) 44 raw lesion and device features with bed as a one-hot category, gradient-boosted trees; (A′) the same with bed as six continuous physiological parameters, trees; (A″) the same continuous features under a linear model, which can extrapolate along them; and (B) the four numbers the operator produces — year-one mean Γ_sc, mismatch dose, τ_sc and log λ₀ — under a linear model.</w:t>
      </w:r>
    </w:p>
    <w:p>
      <w:pPr>
        <w:pStyle w:val="Heading2"/>
      </w:pPr>
      <w:r>
        <w:t>5.3 Results</w:t>
      </w:r>
    </w:p>
    <w:p>
      <w:r>
        <w:rPr>
          <w:b/>
        </w:rPr>
        <w:t>Sample efficiency (Figure 3a).</w:t>
      </w:r>
      <w:r>
        <w:t xml:space="preserve"> Within the coronary bed the operator's four numbers reached AUC 0.790 at n = 100 and were flat thereafter (0.797 at n = 800). Raw features under a linear model were at 0.596 at n = 100 and had still not caught up at n = 800 (0.778); under trees they were lower and unstable (0.600 at n = 100, 0.699 at n = 800). For single-centre cohorts, where the number of procedures is the binding constraint, this is the operator's only demonstrated practical advantage — and it is the one that survived the recalibration, in a sharper form.</w:t>
      </w:r>
    </w:p>
    <w:p>
      <w:r>
        <w:rPr>
          <w:b/>
        </w:rPr>
        <w:t>Cross-bed transfer: the experiment cannot answer the question (Figure 3b).</w:t>
      </w:r>
      <w:r>
        <w:t xml:space="preserve"> Training on coronary and carotid and testing on femoropopliteal, below-the-knee, renal and iliac, the operator reached AUC 0.610 against 0.635 for raw features plus continuous bed physiology under a linear model — a difference of −0.024, with a case-level bootstrap interval of (−0.041, −0.010) that excludes zero.</w:t>
      </w:r>
    </w:p>
    <w:p>
      <w:r>
        <w:rPr>
          <w:b/>
        </w:rPr>
        <w:t>That result does not survive its own robustness check, and we report the check rather than the result.</w:t>
      </w:r>
      <w:r>
        <w:t xml:space="preserve"> Repeating the whole experiment at five simulation seeds gives differences of −0.024, +0.024, +0.037, +0.003 and −0.005: the sign flips, the mean is +0.007, and the case-level interval excludes zero in three of the five seeds — in both directions. The case-level bootstrap is also resampling the wrong unit. The claim is about four arterial beds; resampling 6,041 individual procedures treats them as 6,041 independent observations of bed-to-bed transfer, which they are not. Resampling the four </w:t>
      </w:r>
      <w:r>
        <w:rPr>
          <w:b/>
        </w:rPr>
        <w:t>beds</w:t>
      </w:r>
      <w:r>
        <w:t xml:space="preserve"> instead gives intervals that cover zero at every seed, including the seed that produced the headline number: (−0.036, +0.035).</w:t>
      </w:r>
    </w:p>
    <w:p>
      <w:r>
        <w:t>Within the seed we first ran, three of the four held-out beds in fact favour the operator (below-the-knee 0.576 against 0.549, renal 0.676 against 0.644, femoropopliteal 0.692 against 0.646); only the iliac bed goes the other way (0.704 against 0.730), and the pooled figure reverses because pooling across beds with different event rates is not the same as averaging discrimination within them.</w:t>
      </w:r>
    </w:p>
    <w:p>
      <w:r>
        <w:t xml:space="preserve">The honest conclusion is therefore neither that the operator transfers nor that it fails to: </w:t>
      </w:r>
      <w:r>
        <w:rPr>
          <w:b/>
        </w:rPr>
        <w:t>with four held-out beds this design has no power to decide</w:t>
      </w:r>
      <w:r>
        <w:t>, and a study that wanted to decide it would need many more beds, or many centres within beds, and would have to treat the bed as the unit of analysis. The apparent advantage over tree models (0.571) is a separate and more robust point: a linear model extrapolates along a continuous bed parameter and a tree, which can only interpolate between values it has seen, cannot. Representations (A) and (A′) were numerically identical, for that reason.</w:t>
      </w:r>
    </w:p>
    <w:p>
      <w:r>
        <w:rPr>
          <w:b/>
        </w:rPr>
        <w:t>The risk scale does not transfer, and an offset does not fix it.</w:t>
      </w:r>
      <w:r>
        <w:t xml:space="preserve"> The operator's raw cross-bed Brier score was 0.249, far worse than predicting the test beds' base rate (0.135). Two different corrections get called "recalibration" and they are not interchangeable, so we report both. Shifting the intercept only — keeping the model's log-odds slope — leaves every arm </w:t>
      </w:r>
      <w:r>
        <w:rPr>
          <w:i/>
        </w:rPr>
        <w:t>worse</w:t>
      </w:r>
      <w:r>
        <w:t xml:space="preserve"> than the base rate: 0.151 for the operator, 0.149 for raw features plus bed physiology, 0.163 for trees. What actually repairs them is refitting the slope as well (0.132, 0.131, 0.133), and the slope the operator needs is 0.26 — its log-odds are roughly four times too steep across beds. Both of these use the test labels and are therefore ceilings, not out-of-sample scores.</w:t>
      </w:r>
    </w:p>
    <w:p>
      <w:r>
        <w:t xml:space="preserve">The distinction matters for anyone who wants to use the operator in a new bed. Its </w:t>
      </w:r>
      <w:r>
        <w:rPr>
          <w:i/>
        </w:rPr>
        <w:t>ordering</w:t>
      </w:r>
      <w:r>
        <w:t xml:space="preserve"> carries (AUC 0.610, poor but above chance); its </w:t>
      </w:r>
      <w:r>
        <w:rPr>
          <w:i/>
        </w:rPr>
        <w:t>risk scale</w:t>
      </w:r>
      <w:r>
        <w:t xml:space="preserve"> does not, and it is over-dispersed rather than merely offset. A new bed needs a slope as well as a level, which is a two-parameter recalibration on real events, not a constant anyone can look up.</w:t>
      </w:r>
    </w:p>
    <w:p>
      <w:pPr>
        <w:pStyle w:val="Heading1"/>
      </w:pPr>
      <w:r>
        <w:t>6. A harness that recovers the operator's own preferences</w:t>
      </w:r>
    </w:p>
    <w:p>
      <w:r>
        <w:t>Device selection needs a policy deciding how the operator is used — the sizing rule, when to prepare calcium, when to demand an antiproliferative device. Following the separation used in recent interactive scientific agents [6], we hold that policy as data rather than code, score candidate plans against a fixed rubric composer, and improve the policy with the operator's constants frozen. Across 60 development tasks with 120 held out, the held-out rubric score rose from 0.749 to 0.948 with no change to the operator.</w:t>
      </w:r>
    </w:p>
    <w:p>
      <w:r>
        <w:rPr>
          <w:b/>
        </w:rPr>
        <w:t>This is an internal-consistency result and must not be read as evidence that the policy got clinically better.</w:t>
      </w:r>
      <w:r>
        <w:t xml:space="preserve"> The rubric's heaviest criterion is the operator's own optimum, its second-heaviest is Γ_G at deployment, and the single edit producing almost the whole gain is "consult the operator before choosing". A policy instructed to optimise the operator scores better against a rubric the operator computes. What the loop demonstrates is that harness search recovers the operator's preference ordering without touching its constants, and that the machinery works. Demonstrating that it </w:t>
      </w:r>
      <w:r>
        <w:rPr>
          <w:i/>
        </w:rPr>
        <w:t>helps</w:t>
      </w:r>
      <w:r>
        <w:t xml:space="preserve"> requires at least one criterion the operator does not compute — guideline concordance, or an interventionalist's judgement on a sample of plans — scored separately. One negative finding is worth recording: a diagnoser restricted to </w:t>
      </w:r>
      <w:r>
        <w:rPr>
          <w:i/>
        </w:rPr>
        <w:t>atomic</w:t>
      </w:r>
      <w:r>
        <w:t xml:space="preserve"> edits stalls immediately, because enabling a skill whose threshold still excludes every case and moving a threshold for a skill that is off are both no-ops. Edits have to be compound to be testable.</w:t>
      </w:r>
    </w:p>
    <w:p>
      <w:pPr>
        <w:pStyle w:val="Heading1"/>
      </w:pPr>
      <w:r>
        <w:t>7. Preregistered falsification plan</w:t>
      </w:r>
    </w:p>
    <w:p>
      <w:r>
        <w:t>Stated before any patient data are analysed:</w:t>
      </w:r>
    </w:p>
    <w:p>
      <w:pPr>
        <w:pStyle w:val="ListNumber"/>
      </w:pPr>
      <w:r>
        <w:rPr>
          <w:b/>
        </w:rPr>
        <w:t>The operator must beat a raw-feature floor.</w:t>
      </w:r>
      <w:r>
        <w:t xml:space="preserve"> Refit by maximum likelihood on a real cohort, it must exceed a logistic model on the same raw features in out-of-fold AUC. If it does not, it adds nothing and we will say so.</w:t>
      </w:r>
    </w:p>
    <w:p>
      <w:pPr>
        <w:pStyle w:val="ListNumber"/>
      </w:pPr>
      <w:r>
        <w:rPr>
          <w:b/>
        </w:rPr>
        <w:t>τ_sc must carry information Γ_sc(0) does not.</w:t>
      </w:r>
      <w:r>
        <w:t xml:space="preserve"> Adding τ_sc to a model containing Γ_sc(0) must improve out-of-fold discrimination.</w:t>
      </w:r>
    </w:p>
    <w:p>
      <w:pPr>
        <w:pStyle w:val="ListNumber"/>
      </w:pPr>
      <w:r>
        <w:rPr>
          <w:b/>
        </w:rPr>
        <w:t>The resorption term makes a dated prediction.</w:t>
      </w:r>
      <w:r>
        <w:t xml:space="preserve"> Γ_M for a poly-L-lactide scaffold converges on the wall's compliance with the degradation constant, so any advantage attributable to that axis must appear only after roughly twice the degradation time constant — years 2 to 5, not year 1. An advantage appearing in year 1, or none by year 5, falsifies the term.</w:t>
      </w:r>
    </w:p>
    <w:p>
      <w:pPr>
        <w:pStyle w:val="ListNumber"/>
      </w:pPr>
      <w:r>
        <w:rPr>
          <w:b/>
        </w:rPr>
        <w:t>Sample efficiency must replicate</w:t>
      </w:r>
      <w:r>
        <w:t xml:space="preserve"> in real data at n ≈ 100–200 procedures, or the §5.3 result is an artefact of the simulator.</w:t>
      </w:r>
    </w:p>
    <w:p>
      <w:pPr>
        <w:pStyle w:val="ListNumber"/>
      </w:pPr>
      <w:r>
        <w:rPr>
          <w:b/>
        </w:rPr>
        <w:t>The cross-bed null must be retested, not quietly dropped</w:t>
      </w:r>
      <w:r>
        <w:t>, against continuous bed physiology under a model class that can extrapolate.</w:t>
      </w:r>
    </w:p>
    <w:p>
      <w:pPr>
        <w:pStyle w:val="ListNumber"/>
      </w:pPr>
      <w:r>
        <w:rPr>
          <w:b/>
        </w:rPr>
        <w:t>The model's intermediate quantities must match published imaging.</w:t>
      </w:r>
      <w:r>
        <w:t xml:space="preserve"> Late lumen loss and percent diameter stenosis at follow-up are reported by the anchor trials and are free to check. The current fit implies neointimal thicknesses up to 2.4 mm and fails this immediately; any version that is to be taken seriously must pass it before its endpoint agreement means anything.</w:t>
      </w:r>
    </w:p>
    <w:p>
      <w:pPr>
        <w:pStyle w:val="ListNumber"/>
      </w:pPr>
      <w:r>
        <w:rPr>
          <w:b/>
        </w:rPr>
        <w:t>A human must open the twelve retained primary sources</w:t>
      </w:r>
      <w:r>
        <w:t xml:space="preserve"> and record, for each, the page or table and the verbatim sentence carrying the number. Until then the corrected anchor set is better documented than the first one, not better grounded.</w:t>
      </w:r>
    </w:p>
    <w:p>
      <w:pPr>
        <w:pStyle w:val="ListNumber"/>
      </w:pPr>
      <w:r>
        <w:rPr>
          <w:b/>
        </w:rPr>
        <w:t>The endpoint must be fixed in advance</w:t>
      </w:r>
      <w:r>
        <w:t xml:space="preserve"> — one construct, one trigger, one adjudication standard, one analysis unit, one window — and any anchor that cannot supply it must be excluded rather than converted.</w:t>
      </w:r>
    </w:p>
    <w:p>
      <w:pPr>
        <w:pStyle w:val="Heading1"/>
      </w:pPr>
      <w:r>
        <w:t>8. Limitations</w:t>
      </w:r>
    </w:p>
    <w:p>
      <w:pPr>
        <w:pStyle w:val="ListBullet"/>
      </w:pPr>
      <w:r>
        <w:rPr>
          <w:b/>
        </w:rPr>
        <w:t>No patient-level data.</w:t>
      </w:r>
      <w:r>
        <w:t xml:space="preserve"> Nothing here has seen a patient.</w:t>
      </w:r>
    </w:p>
    <w:p>
      <w:pPr>
        <w:pStyle w:val="ListBullet"/>
      </w:pPr>
      <w:r>
        <w:rPr>
          <w:b/>
        </w:rPr>
        <w:t>The calibration rests on six informative comparisons</w:t>
      </w:r>
      <w:r>
        <w:t>, three beds are fitted trivially, and four anchors are two arms of two trials.</w:t>
      </w:r>
    </w:p>
    <w:p>
      <w:pPr>
        <w:pStyle w:val="ListBullet"/>
      </w:pPr>
      <w:r>
        <w:rPr>
          <w:b/>
        </w:rPr>
        <w:t>Three revascularisation constructs remain mixed</w:t>
      </w:r>
      <w:r>
        <w:t xml:space="preserve"> in the retained set (CD-TLR, all-cause TLR, symptom-driven TLR). They are labelled and weighted, not unified. Symptom-driven TLR without routine angiography biases low; surveillance-triggered TLR biases high; these are opposite biases and cannot be interchanged.</w:t>
      </w:r>
    </w:p>
    <w:p>
      <w:pPr>
        <w:pStyle w:val="ListBullet"/>
      </w:pPr>
      <w:r>
        <w:rPr>
          <w:b/>
        </w:rPr>
        <w:t>No cost, complication, procedure-time or contrast term.</w:t>
      </w:r>
      <w:r>
        <w:t xml:space="preserve"> The operator will therefore recommend maximal lesion preparation almost every time. That is a gap in the model and must not be read as a procedural recommendation.</w:t>
      </w:r>
    </w:p>
    <w:p>
      <w:pPr>
        <w:pStyle w:val="ListBullet"/>
      </w:pPr>
      <w:r>
        <w:rPr>
          <w:b/>
        </w:rPr>
        <w:t>Device entries are representative class parameters</w:t>
      </w:r>
      <w:r>
        <w:t>, not commercial specifications; radial force, device compliance and fatigue resistance are order-of-magnitude estimates.</w:t>
      </w:r>
    </w:p>
    <w:p>
      <w:pPr>
        <w:pStyle w:val="ListBullet"/>
      </w:pPr>
      <w:r>
        <w:rPr>
          <w:b/>
        </w:rPr>
        <w:t>Bed parameters are declared priors, not measurements.</w:t>
      </w:r>
    </w:p>
    <w:p>
      <w:pPr>
        <w:pStyle w:val="ListBullet"/>
      </w:pPr>
      <w:r>
        <w:rPr>
          <w:b/>
        </w:rPr>
        <w:t>Seven of eleven constants are on their bounds, and removing the mechanical axis improves the fit.</w:t>
      </w:r>
      <w:r>
        <w:t xml:space="preserve"> The four-axis structure is not established by this calibration.</w:t>
      </w:r>
    </w:p>
    <w:p>
      <w:pPr>
        <w:pStyle w:val="ListBullet"/>
      </w:pPr>
      <w:r>
        <w:rPr>
          <w:b/>
        </w:rPr>
        <w:t>Half the headline calibration error is an identity.</w:t>
      </w:r>
      <w:r>
        <w:t xml:space="preserve"> Six of the twelve anchors are their own bed's reference case; on the six informative ones the error is 2.3 points.</w:t>
      </w:r>
    </w:p>
    <w:p>
      <w:pPr>
        <w:pStyle w:val="ListBullet"/>
      </w:pPr>
      <w:r>
        <w:rPr>
          <w:b/>
        </w:rPr>
        <w:t>The model's intermediate quantities are not physiological.</w:t>
      </w:r>
      <w:r>
        <w:t xml:space="preserve"> The fitted neointimal asymptote implies per-side thicknesses of 0.4 to 2.4 mm — up to 2,358 µm in a 2.75 mm below-the-knee vessel, against published in-stent late lumen loss of order 0.1 mm — and Γ_H spends much of year one at its numerical floor in the balloon anchors. The operator reproduces the endpoint while getting the path to it wrong, which is the failure a 12-month endpoint cannot detect and an imaging endpoint would.</w:t>
      </w:r>
    </w:p>
    <w:p>
      <w:pPr>
        <w:pStyle w:val="ListBullet"/>
      </w:pPr>
      <w:r>
        <w:rPr>
          <w:b/>
        </w:rPr>
        <w:t>The audit was performed by language-model agents and has not been checked by a human opening the papers.</w:t>
      </w:r>
    </w:p>
    <w:p>
      <w:pPr>
        <w:pStyle w:val="ListBullet"/>
      </w:pPr>
      <w:r>
        <w:rPr>
          <w:b/>
        </w:rPr>
        <w:t>Correlated penalties compound.</w:t>
      </w:r>
      <w:r>
        <w:t xml:space="preserve"> A badly oversized device is charged on both the geometric and mechanical axes; intentional, but the axes are not independent.</w:t>
      </w:r>
    </w:p>
    <w:p>
      <w:pPr>
        <w:pStyle w:val="ListBullet"/>
      </w:pPr>
      <w:r>
        <w:rPr>
          <w:b/>
        </w:rPr>
        <w:t>The carotid anchor is 0.6%</w:t>
      </w:r>
      <w:r>
        <w:t>, indistinguishable from zero on a CD-TLR scale. That bed's informative endpoint is duplex restenosis, which is not in the retained construct, so the carotid bed may simply not be calibratable here.</w:t>
      </w:r>
    </w:p>
    <w:p>
      <w:pPr>
        <w:pStyle w:val="ListBullet"/>
      </w:pPr>
      <w:r>
        <w:rPr>
          <w:b/>
        </w:rPr>
        <w:t>The below-the-knee baseline is a withdrawn device from a negative trial.</w:t>
      </w:r>
      <w:r>
        <w:t xml:space="preserve"> λ₀(btk) and that bed's reference case are IN.PACT DEEP's drug-eluting balloon arm: the trial missed its primary endpoints (CD-TLR 9.2% against 13.1% for plain angioplasty), carried a major-amputation signal (8.8% against 3.6%), and IN.PACT Amphirion was withdrawn worldwide in 2013. It is used because it is the best-adjudicated 12-month CD-TLR in that bed, not because it is good care, and Γ*(btk) = 0.21 against 0.47–0.74 elsewhere is a property of that anchor rather than of the bed. Four of the twelve retained anchors are paclitaxel-balloon arms from two trials by one manufacturer.</w:t>
      </w:r>
    </w:p>
    <w:p>
      <w:pPr>
        <w:pStyle w:val="ListBullet"/>
      </w:pPr>
      <w:r>
        <w:rPr>
          <w:b/>
        </w:rPr>
        <w:t>The mechanical axis cannot penalise a balloon.</w:t>
      </w:r>
      <w:r>
        <w:t xml:space="preserve"> Γ_M is exactly 1 for every balloon anchor at every timepoint, because overstretch strain is computed after recoil and recoil always puts the balloon below the reference diameter. There is no dissection, bailout-stenting or perforation term. In the femoropopliteal bed this hands 36% of the weight to a drug-coated balloon at a perfect score before any physiology is evaluated, and the device setting Γ*(sfa) is itself a balloon.</w:t>
      </w:r>
    </w:p>
    <w:p>
      <w:pPr>
        <w:pStyle w:val="ListBullet"/>
      </w:pPr>
      <w:r>
        <w:rPr>
          <w:b/>
        </w:rPr>
        <w:t>Stenosis severity is ignored.</w:t>
      </w:r>
      <w:r>
        <w:t xml:space="preserve"> </w:t>
      </w:r>
      <w:r>
        <w:rPr>
          <w:rFonts w:ascii="Consolas" w:hAnsi="Consolas"/>
          <w:sz w:val="19"/>
        </w:rPr>
        <w:t>Lesion.stenosis</w:t>
      </w:r>
      <w:r>
        <w:t xml:space="preserve"> is never read by the operator: a 40% and a 95% stenosis give bit-identical output. A 1:1 balloon therefore delivers an injury index of exactly zero, which deletes the mechanism of post-angioplasty restenosis.</w:t>
      </w:r>
    </w:p>
    <w:p>
      <w:pPr>
        <w:pStyle w:val="ListBullet"/>
      </w:pPr>
      <w:r>
        <w:rPr>
          <w:b/>
        </w:rPr>
        <w:t>The model reproduces the endpoint through a physically wrong path.</w:t>
      </w:r>
      <w:r>
        <w:t xml:space="preserve"> See §8.1.</w:t>
      </w:r>
    </w:p>
    <w:p>
      <w:pPr>
        <w:pStyle w:val="ListBullet"/>
      </w:pPr>
      <w:r>
        <w:rPr>
          <w:b/>
        </w:rPr>
        <w:t>Not a clinical decision tool</w:t>
      </w:r>
      <w:r>
        <w:t xml:space="preserve"> and must not be used as one.</w:t>
      </w:r>
    </w:p>
    <w:p>
      <w:pPr>
        <w:pStyle w:val="Heading2"/>
      </w:pPr>
      <w:r>
        <w:t>8.1 The neointima is not physiological, and it matters</w:t>
      </w:r>
    </w:p>
    <w:p>
      <w:r>
        <w:t xml:space="preserve">The fitted neointimal constant implies 12-month per-side thicknesses of 0.5 to 2.2 mm — 528 µm for the contemporary drug-eluting stent anchor whose observed CD-TLR is 2.0%, 2,245 µm in a 2.75 mm below-the-knee vessel — against measured values of order 100 µm by optical coherence tomography for a contemporary stent. The coronary DES anchor is modelled as ending year one at 52% diameter stenosis in a population that revascularised 2% of lesions, and three anchors reach the lumen floor and are effectively modelled as occluded. </w:t>
      </w:r>
      <w:r>
        <w:rPr>
          <w:b/>
        </w:rPr>
        <w:t>Γ_H sits at or near its numerical clip for nine of the twelve anchors at 365 days</w:t>
      </w:r>
      <w:r>
        <w:t>, so for most anchors τ_sc and the mismatch dose are reporting where a clip was hit rather than device–vessel physics.</w:t>
      </w:r>
    </w:p>
    <w:p>
      <w:r>
        <w:t xml:space="preserve">We report this rather than refitting around it, because it is the clearest available illustration of the paper's own argument. A model can match an endpoint through a path that is wrong, and a 12-month revascularisation endpoint cannot detect that; late lumen loss and follow-up percent diameter stenosis are published by these same trials and falsify it in one line. That is why it is now falsification item 6, and why nothing in this paper should be read as evidence that the operator's internals are right. A refit under a physiological bound is the obvious next step, and if the anchors cannot be reproduced under one, </w:t>
      </w:r>
      <w:r>
        <w:rPr>
          <w:b/>
        </w:rPr>
        <w:t>that is the result</w:t>
      </w:r>
      <w:r>
        <w:t>.</w:t>
      </w:r>
    </w:p>
    <w:p>
      <w:pPr>
        <w:pStyle w:val="Heading1"/>
      </w:pPr>
      <w:r>
        <w:t>9. Data and code availability</w:t>
      </w:r>
    </w:p>
    <w:p>
      <w:r>
        <w:t>The implementation, the anchor set with every provenance field and the full audit record, the fitted constants, and the scripts that reproduce every number and figure are released with the paper. An interactive workbench running the operator entirely in the browser is at https://lingsenyou.com/suitcordance/.</w:t>
      </w:r>
    </w:p>
    <w:p>
      <w:pPr>
        <w:ind w:left="432"/>
      </w:pPr>
      <w:r>
        <w:rPr>
          <w:b/>
          <w:color w:val="A8332A"/>
          <w:sz w:val="19"/>
        </w:rPr>
        <w:t>BEFORE POSTING:</w:t>
      </w:r>
      <w:r>
        <w:rPr>
          <w:color w:val="A8332A"/>
          <w:sz w:val="19"/>
        </w:rPr>
        <w:t xml:space="preserve"> deposit the code and replace this with the Zenodo concept DOI.</w:t>
      </w:r>
    </w:p>
    <w:p>
      <w:pPr>
        <w:pStyle w:val="Heading1"/>
      </w:pPr>
      <w:r>
        <w:t>10. Declarations</w:t>
      </w:r>
    </w:p>
    <w:p>
      <w:r>
        <w:rPr>
          <w:b/>
        </w:rPr>
        <w:t>Funding.</w:t>
      </w:r>
      <w:r>
        <w:t xml:space="preserve"> This work was supported by the National Natural Science Foundation of China (T2288101, 82170342), the AI for Science Foundation of Fudan University (FudanX24AI003), and the Medical Engineering Joint Fund of Fudan University (yg2023-01). </w:t>
      </w:r>
      <w:r>
        <w:rPr>
          <w:b/>
        </w:rPr>
        <w:t>Competing interests.</w:t>
      </w:r>
      <w:r>
        <w:t xml:space="preserve"> L.Y. and L.S. serve as Executive Secretaries of the National Basic Science Center for Panvascular Interventional Complex Systems, and J.G. serves as its Director. The framework this paper operationalises is that centre's research programme [1], and the work was supported by that centre's award (T2288101). The authors declare no other competing interests, and no consulting income, speaking fees, equity, patents or family interests involving any manufacturer of the device classes evaluated here. </w:t>
      </w:r>
      <w:r>
        <w:rPr>
          <w:b/>
        </w:rPr>
        <w:t>Ethics.</w:t>
      </w:r>
      <w:r>
        <w:t xml:space="preserve"> No human subjects or patient data were involved. </w:t>
      </w:r>
      <w:r>
        <w:rPr>
          <w:b/>
        </w:rPr>
        <w:t>Use of AI.</w:t>
      </w:r>
      <w:r>
        <w:t xml:space="preserve"> The operator, the calibration and the in-silico experiments were implemented with the assistance of a large language model (Claude Opus 5), which also performed the citation audit of §3 and drafted portions of this manuscript. The authors directed the work, chose the modelling commitments, and take responsibility for the content. The audit's raw agent-by-agent record is released with the code so that its provenance can be inspected rather than taken on trust. </w:t>
      </w:r>
      <w:r>
        <w:rPr>
          <w:b/>
        </w:rPr>
        <w:t>Author contributions.</w:t>
      </w:r>
      <w:r>
        <w:t xml:space="preserve"> L.Y. conceived the operator, wrote the code, performed the citation audit, the calibration and the in-silico experiments, and wrote the manuscript. L.S. and J.G. supervised the work and revised the manuscript.</w:t>
      </w:r>
    </w:p>
    <w:p>
      <w:pPr>
        <w:pStyle w:val="Heading1"/>
      </w:pPr>
      <w:r>
        <w:t>References</w:t>
      </w:r>
    </w:p>
    <w:p>
      <w:pPr>
        <w:ind w:left="432"/>
      </w:pPr>
      <w:r>
        <w:rPr>
          <w:color w:val="A8332A"/>
          <w:sz w:val="19"/>
        </w:rPr>
        <w:t>Primary citations for every retained and excluded anchor are carried in Table 1 with</w:t>
      </w:r>
    </w:p>
    <w:p>
      <w:pPr>
        <w:ind w:left="432"/>
      </w:pPr>
      <w:r>
        <w:rPr>
          <w:color w:val="A8332A"/>
          <w:sz w:val="19"/>
        </w:rPr>
        <w:t>their DOIs, all verified against the source during the audit in §3. The list below is</w:t>
      </w:r>
    </w:p>
    <w:p>
      <w:pPr>
        <w:ind w:left="432"/>
      </w:pPr>
      <w:r>
        <w:rPr>
          <w:color w:val="A8332A"/>
          <w:sz w:val="19"/>
        </w:rPr>
        <w:t>the non-anchor references.</w:t>
      </w:r>
    </w:p>
    <w:p>
      <w:pPr>
        <w:pStyle w:val="ListNumber"/>
      </w:pPr>
      <w:r>
        <w:t xml:space="preserve">You L, Shen L, Ge J. The foundation and development of China's National Basic Science Center for panvascular interventional complex systems: pioneering device–vessel suitcordance research. </w:t>
      </w:r>
      <w:r>
        <w:rPr>
          <w:i/>
        </w:rPr>
        <w:t>Eur Heart J</w:t>
      </w:r>
      <w:r>
        <w:t>. 2025;46(35):3400–3403. doi:10.1093/eurheartj/ehaf418</w:t>
      </w:r>
    </w:p>
    <w:p>
      <w:pPr>
        <w:pStyle w:val="ListNumber"/>
      </w:pPr>
      <w:r>
        <w:t xml:space="preserve">You L, et al. Vascular–device suitcordance: a tri-ecological framework for eco-rebalancing. </w:t>
      </w:r>
      <w:r>
        <w:rPr>
          <w:i/>
        </w:rPr>
        <w:t>Trends Mol Med</w:t>
      </w:r>
      <w:r>
        <w:t xml:space="preserve">. In press (accepted 14 September 2026). </w:t>
      </w:r>
      <w:r>
        <w:rPr>
          <w:i/>
        </w:rPr>
        <w:t>[DOI to be added before posting.]</w:t>
      </w:r>
    </w:p>
    <w:p>
      <w:pPr>
        <w:pStyle w:val="ListNumber"/>
      </w:pPr>
      <w:r>
        <w:t xml:space="preserve">You L, Chen Y, Zhang Z, Wang Y, Shen L, Ge J. High suitcordance for panvascular full-watershed organs: a new interventional perspective. </w:t>
      </w:r>
      <w:r>
        <w:rPr>
          <w:i/>
        </w:rPr>
        <w:t>Research (Wash D C)</w:t>
      </w:r>
      <w:r>
        <w:t>.</w:t>
      </w:r>
    </w:p>
    <w:p>
      <w:pPr>
        <w:pStyle w:val="ListNumber"/>
      </w:pPr>
      <w:r>
        <w:t>doi:10.34133/research.0974</w:t>
      </w:r>
    </w:p>
    <w:p>
      <w:pPr>
        <w:pStyle w:val="ListNumber"/>
      </w:pPr>
      <w:r>
        <w:t xml:space="preserve">You L, Chen Y, Zhang Z, Wang Y, Gu Z, Shen L, Ge J. The FLOW framework: a panvascular-on-a-chip platform to model systemic disease and guide panvascular interventional device suitcordance. </w:t>
      </w:r>
      <w:r>
        <w:rPr>
          <w:i/>
        </w:rPr>
        <w:t>Sci Bull</w:t>
      </w:r>
      <w:r>
        <w:t>. 2026. doi:10.1016/j.scib.2025.12.051</w:t>
      </w:r>
    </w:p>
    <w:p>
      <w:pPr>
        <w:pStyle w:val="ListNumber"/>
      </w:pPr>
      <w:r>
        <w:t xml:space="preserve">You L, Yao J, Qiu Y, Wang Y, Sun Y, Zhang R, Shen L, Ge J. From intravascular imaging to adaptive vascular care: intelligent photonics and digital twins in panvascular disease. </w:t>
      </w:r>
      <w:r>
        <w:rPr>
          <w:i/>
        </w:rPr>
        <w:t>Light Sci Appl</w:t>
      </w:r>
      <w:r>
        <w:t>. 2026. doi:10.1038/s41377-026-02410-6</w:t>
      </w:r>
    </w:p>
    <w:p>
      <w:pPr>
        <w:pStyle w:val="ListNumber"/>
      </w:pPr>
      <w:r>
        <w:t xml:space="preserve">Xue S, Zhong J, Nan Z, et al. ScienceBuddy: recursive-in-recursive self-improvement for interactive scientific agents. </w:t>
      </w:r>
      <w:r>
        <w:rPr>
          <w:i/>
        </w:rPr>
        <w:t>arXiv</w:t>
      </w:r>
      <w:r>
        <w:t>:2609.17523. 2026.</w:t>
      </w:r>
    </w:p>
    <w:p>
      <w:pPr>
        <w:pStyle w:val="Heading1"/>
      </w:pPr>
      <w:r>
        <w:t>Figure and table legends</w:t>
      </w:r>
    </w:p>
    <w:p>
      <w:r>
        <w:rPr>
          <w:b/>
        </w:rPr>
        <w:t>Figure 1. The operator, on one coronary lesion.</w:t>
      </w:r>
      <w:r>
        <w:t xml:space="preserve"> A 3.05 mm reference vessel, 22 mm lesion, moderate calcium, diabetes. </w:t>
      </w:r>
      <w:r>
        <w:rPr>
          <w:b/>
        </w:rPr>
        <w:t>(a)</w:t>
      </w:r>
      <w:r>
        <w:t xml:space="preserve"> The four agreement axes and their weighted geometric mean for an ultrathin drug-eluting stent; the dashed line marks τ_sc. </w:t>
      </w:r>
      <w:r>
        <w:rPr>
          <w:b/>
        </w:rPr>
        <w:t>(b)</w:t>
      </w:r>
      <w:r>
        <w:t xml:space="preserve"> Γ_sc for four strategies in the same lesion, each labelled with its own τ_sc.</w:t>
      </w:r>
    </w:p>
    <w:p>
      <w:r>
        <w:rPr>
          <w:b/>
        </w:rPr>
        <w:t>Figure 2. Calibration against the audited anchor set.</w:t>
      </w:r>
      <w:r>
        <w:t xml:space="preserve"> One shared parameter set across six arterial beds. Filled markers are the anchors in the fit, area proportional to audited trust weight; hollow markers are the four excluded anchors, plotted at the corrected value. Solid line identity, dashed lines 1.5-fold.</w:t>
      </w:r>
    </w:p>
    <w:p>
      <w:r>
        <w:rPr>
          <w:b/>
        </w:rPr>
        <w:t>Figure 3. In-silico evaluation.</w:t>
      </w:r>
      <w:r>
        <w:t xml:space="preserve"> </w:t>
      </w:r>
      <w:r>
        <w:rPr>
          <w:b/>
        </w:rPr>
        <w:t>(a)</w:t>
      </w:r>
      <w:r>
        <w:t xml:space="preserve"> Sample efficiency within the coronary bed, held-out n = 400. </w:t>
      </w:r>
      <w:r>
        <w:rPr>
          <w:b/>
        </w:rPr>
        <w:t>(b)</w:t>
      </w:r>
      <w:r>
        <w:t xml:space="preserve"> Cross-bed transfer, training on coronary and carotid, testing on four held-out beds. The operator does not beat raw features plus continuous bed physiology under a model class that can extrapolate.</w:t>
      </w:r>
    </w:p>
    <w:p>
      <w:r>
        <w:rPr>
          <w:b/>
        </w:rPr>
        <w:t>Table 1. The anchor set, with provenance.</w:t>
      </w:r>
      <w:r>
        <w:t xml:space="preserve"> Every anchor with its bed, device class, value, audited trust weight, endpoint construct, trigger, adjudication, estimator, analysis unit, actual time window and design, the primary citation with DOI, and a note recording what the first version of the anchor asserted and why it changed. Excluded anchors are marked.</w:t>
      </w:r>
    </w:p>
    <w:p>
      <w:r>
        <w:br w:type="page"/>
      </w:r>
    </w:p>
    <w:p>
      <w:pPr>
        <w:pStyle w:val="Heading1"/>
      </w:pPr>
      <w:r>
        <w:t>Figures</w:t>
      </w:r>
    </w:p>
    <w:p>
      <w:pPr>
        <w:jc w:val="center"/>
      </w:pPr>
      <w:r>
        <w:drawing>
          <wp:inline xmlns:a="http://schemas.openxmlformats.org/drawingml/2006/main" xmlns:pic="http://schemas.openxmlformats.org/drawingml/2006/picture">
            <wp:extent cx="5852160" cy="2192903"/>
            <wp:docPr id="1" name="Picture 1"/>
            <wp:cNvGraphicFramePr>
              <a:graphicFrameLocks noChangeAspect="1"/>
            </wp:cNvGraphicFramePr>
            <a:graphic>
              <a:graphicData uri="http://schemas.openxmlformats.org/drawingml/2006/picture">
                <pic:pic>
                  <pic:nvPicPr>
                    <pic:cNvPr id="0" name="fig1_trajectories.png"/>
                    <pic:cNvPicPr/>
                  </pic:nvPicPr>
                  <pic:blipFill>
                    <a:blip r:embed="rId9"/>
                    <a:stretch>
                      <a:fillRect/>
                    </a:stretch>
                  </pic:blipFill>
                  <pic:spPr>
                    <a:xfrm>
                      <a:off x="0" y="0"/>
                      <a:ext cx="5852160" cy="2192903"/>
                    </a:xfrm>
                    <a:prstGeom prst="rect"/>
                  </pic:spPr>
                </pic:pic>
              </a:graphicData>
            </a:graphic>
          </wp:inline>
        </w:drawing>
      </w:r>
    </w:p>
    <w:p>
      <w:pPr>
        <w:jc w:val="center"/>
      </w:pPr>
      <w:r>
        <w:rPr>
          <w:i/>
          <w:sz w:val="18"/>
        </w:rPr>
        <w:t>Figure 1. Legend in the text.</w:t>
      </w:r>
    </w:p>
    <w:p>
      <w:pPr>
        <w:jc w:val="center"/>
      </w:pPr>
      <w:r>
        <w:drawing>
          <wp:inline xmlns:a="http://schemas.openxmlformats.org/drawingml/2006/main" xmlns:pic="http://schemas.openxmlformats.org/drawingml/2006/picture">
            <wp:extent cx="3566160" cy="3226970"/>
            <wp:docPr id="2" name="Picture 2"/>
            <wp:cNvGraphicFramePr>
              <a:graphicFrameLocks noChangeAspect="1"/>
            </wp:cNvGraphicFramePr>
            <a:graphic>
              <a:graphicData uri="http://schemas.openxmlformats.org/drawingml/2006/picture">
                <pic:pic>
                  <pic:nvPicPr>
                    <pic:cNvPr id="0" name="fig2_calibration.png"/>
                    <pic:cNvPicPr/>
                  </pic:nvPicPr>
                  <pic:blipFill>
                    <a:blip r:embed="rId10"/>
                    <a:stretch>
                      <a:fillRect/>
                    </a:stretch>
                  </pic:blipFill>
                  <pic:spPr>
                    <a:xfrm>
                      <a:off x="0" y="0"/>
                      <a:ext cx="3566160" cy="3226970"/>
                    </a:xfrm>
                    <a:prstGeom prst="rect"/>
                  </pic:spPr>
                </pic:pic>
              </a:graphicData>
            </a:graphic>
          </wp:inline>
        </w:drawing>
      </w:r>
    </w:p>
    <w:p>
      <w:pPr>
        <w:jc w:val="center"/>
      </w:pPr>
      <w:r>
        <w:rPr>
          <w:i/>
          <w:sz w:val="18"/>
        </w:rPr>
        <w:t>Figure 2. Legend in the text.</w:t>
      </w:r>
    </w:p>
    <w:p>
      <w:pPr>
        <w:jc w:val="center"/>
      </w:pPr>
      <w:r>
        <w:drawing>
          <wp:inline xmlns:a="http://schemas.openxmlformats.org/drawingml/2006/main" xmlns:pic="http://schemas.openxmlformats.org/drawingml/2006/picture">
            <wp:extent cx="5852160" cy="1878780"/>
            <wp:docPr id="3" name="Picture 3"/>
            <wp:cNvGraphicFramePr>
              <a:graphicFrameLocks noChangeAspect="1"/>
            </wp:cNvGraphicFramePr>
            <a:graphic>
              <a:graphicData uri="http://schemas.openxmlformats.org/drawingml/2006/picture">
                <pic:pic>
                  <pic:nvPicPr>
                    <pic:cNvPr id="0" name="fig3_experiments.png"/>
                    <pic:cNvPicPr/>
                  </pic:nvPicPr>
                  <pic:blipFill>
                    <a:blip r:embed="rId11"/>
                    <a:stretch>
                      <a:fillRect/>
                    </a:stretch>
                  </pic:blipFill>
                  <pic:spPr>
                    <a:xfrm>
                      <a:off x="0" y="0"/>
                      <a:ext cx="5852160" cy="1878780"/>
                    </a:xfrm>
                    <a:prstGeom prst="rect"/>
                  </pic:spPr>
                </pic:pic>
              </a:graphicData>
            </a:graphic>
          </wp:inline>
        </w:drawing>
      </w:r>
    </w:p>
    <w:p>
      <w:pPr>
        <w:jc w:val="center"/>
      </w:pPr>
      <w:r>
        <w:rPr>
          <w:i/>
          <w:sz w:val="18"/>
        </w:rPr>
        <w:t>Figure 3. Legend in the text.</w:t>
      </w:r>
    </w:p>
    <w:p>
      <w:r>
        <w:br w:type="page"/>
      </w:r>
    </w:p>
    <w:p>
      <w:pPr>
        <w:pStyle w:val="Heading1"/>
      </w:pPr>
      <w:r>
        <w:t>Table 1</w:t>
      </w:r>
    </w:p>
    <w:p>
      <w:r>
        <w:rPr>
          <w:b/>
        </w:rPr>
        <w:t>Table 1. The anchor set, with provenance.</w:t>
      </w:r>
      <w:r>
        <w:t xml:space="preserve"> Endpoint constructs are given as the source words them. Trust weight encodes audited evidence quality. Rows marked (excluded) are not in the fit and are shown at their corrected value.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5"/>
              </w:rPr>
            </w:r>
            <w:r>
              <w:rPr>
                <w:b/>
                <w:sz w:val="15"/>
              </w:rPr>
              <w:t>Anchor</w:t>
            </w:r>
          </w:p>
        </w:tc>
        <w:tc>
          <w:tcPr>
            <w:tcW w:type="dxa" w:w="960"/>
          </w:tcPr>
          <w:p>
            <w:r>
              <w:rPr>
                <w:b/>
                <w:sz w:val="15"/>
              </w:rPr>
            </w:r>
            <w:r>
              <w:rPr>
                <w:b/>
                <w:sz w:val="15"/>
              </w:rPr>
              <w:t>Bed</w:t>
            </w:r>
          </w:p>
        </w:tc>
        <w:tc>
          <w:tcPr>
            <w:tcW w:type="dxa" w:w="960"/>
          </w:tcPr>
          <w:p>
            <w:r>
              <w:rPr>
                <w:b/>
                <w:sz w:val="15"/>
              </w:rPr>
            </w:r>
            <w:r>
              <w:rPr>
                <w:b/>
                <w:sz w:val="15"/>
              </w:rPr>
              <w:t>Observed</w:t>
            </w:r>
          </w:p>
        </w:tc>
        <w:tc>
          <w:tcPr>
            <w:tcW w:type="dxa" w:w="960"/>
          </w:tcPr>
          <w:p>
            <w:r>
              <w:rPr>
                <w:b/>
                <w:sz w:val="15"/>
              </w:rPr>
            </w:r>
            <w:r>
              <w:rPr>
                <w:b/>
                <w:sz w:val="15"/>
              </w:rPr>
              <w:t>Predicted</w:t>
            </w:r>
          </w:p>
        </w:tc>
        <w:tc>
          <w:tcPr>
            <w:tcW w:type="dxa" w:w="960"/>
          </w:tcPr>
          <w:p>
            <w:r>
              <w:rPr>
                <w:b/>
                <w:sz w:val="15"/>
              </w:rPr>
            </w:r>
            <w:r>
              <w:rPr>
                <w:b/>
                <w:sz w:val="15"/>
              </w:rPr>
              <w:t>Construct</w:t>
            </w:r>
          </w:p>
        </w:tc>
        <w:tc>
          <w:tcPr>
            <w:tcW w:type="dxa" w:w="960"/>
          </w:tcPr>
          <w:p>
            <w:r>
              <w:rPr>
                <w:b/>
                <w:sz w:val="15"/>
              </w:rPr>
            </w:r>
            <w:r>
              <w:rPr>
                <w:b/>
                <w:sz w:val="15"/>
              </w:rPr>
              <w:t>Trigger</w:t>
            </w:r>
          </w:p>
        </w:tc>
        <w:tc>
          <w:tcPr>
            <w:tcW w:type="dxa" w:w="960"/>
          </w:tcPr>
          <w:p>
            <w:r>
              <w:rPr>
                <w:b/>
                <w:sz w:val="15"/>
              </w:rPr>
            </w:r>
            <w:r>
              <w:rPr>
                <w:b/>
                <w:sz w:val="15"/>
              </w:rPr>
              <w:t>Unit</w:t>
            </w:r>
          </w:p>
        </w:tc>
        <w:tc>
          <w:tcPr>
            <w:tcW w:type="dxa" w:w="960"/>
          </w:tcPr>
          <w:p>
            <w:r>
              <w:rPr>
                <w:b/>
                <w:sz w:val="15"/>
              </w:rPr>
            </w:r>
            <w:r>
              <w:rPr>
                <w:b/>
                <w:sz w:val="15"/>
              </w:rPr>
              <w:t>Window (d)</w:t>
            </w:r>
          </w:p>
        </w:tc>
        <w:tc>
          <w:tcPr>
            <w:tcW w:type="dxa" w:w="960"/>
          </w:tcPr>
          <w:p>
            <w:r>
              <w:rPr>
                <w:b/>
                <w:sz w:val="15"/>
              </w:rPr>
            </w:r>
            <w:r>
              <w:rPr>
                <w:b/>
                <w:sz w:val="15"/>
              </w:rPr>
              <w:t>Trust</w:t>
            </w:r>
          </w:p>
        </w:tc>
      </w:tr>
      <w:tr>
        <w:tc>
          <w:tcPr>
            <w:tcW w:type="dxa" w:w="960"/>
          </w:tcPr>
          <w:p>
            <w:r>
              <w:rPr>
                <w:sz w:val="15"/>
              </w:rPr>
            </w:r>
            <w:r>
              <w:rPr>
                <w:sz w:val="15"/>
              </w:rPr>
              <w:t>COR-DES-modern</w:t>
            </w:r>
          </w:p>
        </w:tc>
        <w:tc>
          <w:tcPr>
            <w:tcW w:type="dxa" w:w="960"/>
          </w:tcPr>
          <w:p>
            <w:r>
              <w:rPr>
                <w:sz w:val="15"/>
              </w:rPr>
            </w:r>
            <w:r>
              <w:rPr>
                <w:sz w:val="15"/>
              </w:rPr>
              <w:t>Coronary</w:t>
            </w:r>
          </w:p>
        </w:tc>
        <w:tc>
          <w:tcPr>
            <w:tcW w:type="dxa" w:w="960"/>
          </w:tcPr>
          <w:p>
            <w:r>
              <w:rPr>
                <w:sz w:val="15"/>
              </w:rPr>
            </w:r>
            <w:r>
              <w:rPr>
                <w:sz w:val="15"/>
              </w:rPr>
              <w:t>2.0%</w:t>
            </w:r>
          </w:p>
        </w:tc>
        <w:tc>
          <w:tcPr>
            <w:tcW w:type="dxa" w:w="960"/>
          </w:tcPr>
          <w:p>
            <w:r>
              <w:rPr>
                <w:sz w:val="15"/>
              </w:rPr>
            </w:r>
            <w:r>
              <w:rPr>
                <w:sz w:val="15"/>
              </w:rPr>
              <w:t>2.2%</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0.90</w:t>
            </w:r>
          </w:p>
        </w:tc>
      </w:tr>
      <w:tr>
        <w:tc>
          <w:tcPr>
            <w:tcW w:type="dxa" w:w="960"/>
          </w:tcPr>
          <w:p>
            <w:r>
              <w:rPr>
                <w:sz w:val="15"/>
              </w:rPr>
            </w:r>
            <w:r>
              <w:rPr>
                <w:sz w:val="15"/>
              </w:rPr>
              <w:t>COR-BRS-plla</w:t>
            </w:r>
          </w:p>
        </w:tc>
        <w:tc>
          <w:tcPr>
            <w:tcW w:type="dxa" w:w="960"/>
          </w:tcPr>
          <w:p>
            <w:r>
              <w:rPr>
                <w:sz w:val="15"/>
              </w:rPr>
            </w:r>
            <w:r>
              <w:rPr>
                <w:sz w:val="15"/>
              </w:rPr>
              <w:t>Coronary</w:t>
            </w:r>
          </w:p>
        </w:tc>
        <w:tc>
          <w:tcPr>
            <w:tcW w:type="dxa" w:w="960"/>
          </w:tcPr>
          <w:p>
            <w:r>
              <w:rPr>
                <w:sz w:val="15"/>
              </w:rPr>
            </w:r>
            <w:r>
              <w:rPr>
                <w:sz w:val="15"/>
              </w:rPr>
              <w:t>3.0%</w:t>
            </w:r>
          </w:p>
        </w:tc>
        <w:tc>
          <w:tcPr>
            <w:tcW w:type="dxa" w:w="960"/>
          </w:tcPr>
          <w:p>
            <w:r>
              <w:rPr>
                <w:sz w:val="15"/>
              </w:rPr>
            </w:r>
            <w:r>
              <w:rPr>
                <w:sz w:val="15"/>
              </w:rPr>
              <w:t>1.7%</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0.90</w:t>
            </w:r>
          </w:p>
        </w:tc>
      </w:tr>
      <w:tr>
        <w:tc>
          <w:tcPr>
            <w:tcW w:type="dxa" w:w="960"/>
          </w:tcPr>
          <w:p>
            <w:r>
              <w:rPr>
                <w:sz w:val="15"/>
              </w:rPr>
            </w:r>
            <w:r>
              <w:rPr>
                <w:sz w:val="15"/>
              </w:rPr>
              <w:t>COR-BMS</w:t>
            </w:r>
          </w:p>
        </w:tc>
        <w:tc>
          <w:tcPr>
            <w:tcW w:type="dxa" w:w="960"/>
          </w:tcPr>
          <w:p>
            <w:r>
              <w:rPr>
                <w:sz w:val="15"/>
              </w:rPr>
            </w:r>
            <w:r>
              <w:rPr>
                <w:sz w:val="15"/>
              </w:rPr>
              <w:t>Coronary</w:t>
            </w:r>
          </w:p>
        </w:tc>
        <w:tc>
          <w:tcPr>
            <w:tcW w:type="dxa" w:w="960"/>
          </w:tcPr>
          <w:p>
            <w:r>
              <w:rPr>
                <w:sz w:val="15"/>
              </w:rPr>
            </w:r>
            <w:r>
              <w:rPr>
                <w:sz w:val="15"/>
              </w:rPr>
              <w:t>9.8%</w:t>
            </w:r>
          </w:p>
        </w:tc>
        <w:tc>
          <w:tcPr>
            <w:tcW w:type="dxa" w:w="960"/>
          </w:tcPr>
          <w:p>
            <w:r>
              <w:rPr>
                <w:sz w:val="15"/>
              </w:rPr>
            </w:r>
            <w:r>
              <w:rPr>
                <w:sz w:val="15"/>
              </w:rPr>
              <w:t>11.4%</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390</w:t>
            </w:r>
          </w:p>
        </w:tc>
        <w:tc>
          <w:tcPr>
            <w:tcW w:type="dxa" w:w="960"/>
          </w:tcPr>
          <w:p>
            <w:r>
              <w:rPr>
                <w:sz w:val="15"/>
              </w:rPr>
            </w:r>
            <w:r>
              <w:rPr>
                <w:sz w:val="15"/>
              </w:rPr>
              <w:t>0.75</w:t>
            </w:r>
          </w:p>
        </w:tc>
      </w:tr>
      <w:tr>
        <w:tc>
          <w:tcPr>
            <w:tcW w:type="dxa" w:w="960"/>
          </w:tcPr>
          <w:p>
            <w:r>
              <w:rPr>
                <w:sz w:val="15"/>
              </w:rPr>
            </w:r>
            <w:r>
              <w:rPr>
                <w:sz w:val="15"/>
              </w:rPr>
              <w:t>COR-POBA</w:t>
            </w:r>
          </w:p>
        </w:tc>
        <w:tc>
          <w:tcPr>
            <w:tcW w:type="dxa" w:w="960"/>
          </w:tcPr>
          <w:p>
            <w:r>
              <w:rPr>
                <w:sz w:val="15"/>
              </w:rPr>
            </w:r>
            <w:r>
              <w:rPr>
                <w:sz w:val="15"/>
              </w:rPr>
              <w:t>Coronary</w:t>
            </w:r>
          </w:p>
        </w:tc>
        <w:tc>
          <w:tcPr>
            <w:tcW w:type="dxa" w:w="960"/>
          </w:tcPr>
          <w:p>
            <w:r>
              <w:rPr>
                <w:sz w:val="15"/>
              </w:rPr>
            </w:r>
            <w:r>
              <w:rPr>
                <w:sz w:val="15"/>
              </w:rPr>
              <w:t>17.0%</w:t>
            </w:r>
          </w:p>
        </w:tc>
        <w:tc>
          <w:tcPr>
            <w:tcW w:type="dxa" w:w="960"/>
          </w:tcPr>
          <w:p>
            <w:r>
              <w:rPr>
                <w:sz w:val="15"/>
              </w:rPr>
            </w:r>
            <w:r>
              <w:rPr>
                <w:sz w:val="15"/>
              </w:rPr>
              <w:t>18.1%</w:t>
            </w:r>
          </w:p>
        </w:tc>
        <w:tc>
          <w:tcPr>
            <w:tcW w:type="dxa" w:w="960"/>
          </w:tcPr>
          <w:p>
            <w:r>
              <w:rPr>
                <w:sz w:val="15"/>
              </w:rPr>
            </w:r>
            <w:r>
              <w:rPr>
                <w:sz w:val="15"/>
              </w:rPr>
              <w:t>symptom-driven 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0.55</w:t>
            </w:r>
          </w:p>
        </w:tc>
      </w:tr>
      <w:tr>
        <w:tc>
          <w:tcPr>
            <w:tcW w:type="dxa" w:w="960"/>
          </w:tcPr>
          <w:p>
            <w:r>
              <w:rPr>
                <w:sz w:val="15"/>
              </w:rPr>
            </w:r>
            <w:r>
              <w:rPr>
                <w:sz w:val="15"/>
              </w:rPr>
              <w:t>SFA-DCB</w:t>
            </w:r>
          </w:p>
        </w:tc>
        <w:tc>
          <w:tcPr>
            <w:tcW w:type="dxa" w:w="960"/>
          </w:tcPr>
          <w:p>
            <w:r>
              <w:rPr>
                <w:sz w:val="15"/>
              </w:rPr>
            </w:r>
            <w:r>
              <w:rPr>
                <w:sz w:val="15"/>
              </w:rPr>
              <w:t>Femoropopliteal</w:t>
            </w:r>
          </w:p>
        </w:tc>
        <w:tc>
          <w:tcPr>
            <w:tcW w:type="dxa" w:w="960"/>
          </w:tcPr>
          <w:p>
            <w:r>
              <w:rPr>
                <w:sz w:val="15"/>
              </w:rPr>
            </w:r>
            <w:r>
              <w:rPr>
                <w:sz w:val="15"/>
              </w:rPr>
              <w:t>2.4%</w:t>
            </w:r>
          </w:p>
        </w:tc>
        <w:tc>
          <w:tcPr>
            <w:tcW w:type="dxa" w:w="960"/>
          </w:tcPr>
          <w:p>
            <w:r>
              <w:rPr>
                <w:sz w:val="15"/>
              </w:rPr>
            </w:r>
            <w:r>
              <w:rPr>
                <w:sz w:val="15"/>
              </w:rPr>
              <w:t>2.5%</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1.00</w:t>
            </w:r>
          </w:p>
        </w:tc>
      </w:tr>
      <w:tr>
        <w:tc>
          <w:tcPr>
            <w:tcW w:type="dxa" w:w="960"/>
          </w:tcPr>
          <w:p>
            <w:r>
              <w:rPr>
                <w:sz w:val="15"/>
              </w:rPr>
            </w:r>
            <w:r>
              <w:rPr>
                <w:sz w:val="15"/>
              </w:rPr>
              <w:t>SFA-POBA</w:t>
            </w:r>
          </w:p>
        </w:tc>
        <w:tc>
          <w:tcPr>
            <w:tcW w:type="dxa" w:w="960"/>
          </w:tcPr>
          <w:p>
            <w:r>
              <w:rPr>
                <w:sz w:val="15"/>
              </w:rPr>
            </w:r>
            <w:r>
              <w:rPr>
                <w:sz w:val="15"/>
              </w:rPr>
              <w:t>Femoropopliteal</w:t>
            </w:r>
          </w:p>
        </w:tc>
        <w:tc>
          <w:tcPr>
            <w:tcW w:type="dxa" w:w="960"/>
          </w:tcPr>
          <w:p>
            <w:r>
              <w:rPr>
                <w:sz w:val="15"/>
              </w:rPr>
            </w:r>
            <w:r>
              <w:rPr>
                <w:sz w:val="15"/>
              </w:rPr>
              <w:t>20.6%</w:t>
            </w:r>
          </w:p>
        </w:tc>
        <w:tc>
          <w:tcPr>
            <w:tcW w:type="dxa" w:w="960"/>
          </w:tcPr>
          <w:p>
            <w:r>
              <w:rPr>
                <w:sz w:val="15"/>
              </w:rPr>
            </w:r>
            <w:r>
              <w:rPr>
                <w:sz w:val="15"/>
              </w:rPr>
              <w:t>16.4%</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1.00</w:t>
            </w:r>
          </w:p>
        </w:tc>
      </w:tr>
      <w:tr>
        <w:tc>
          <w:tcPr>
            <w:tcW w:type="dxa" w:w="960"/>
          </w:tcPr>
          <w:p>
            <w:r>
              <w:rPr>
                <w:sz w:val="15"/>
              </w:rPr>
            </w:r>
            <w:r>
              <w:rPr>
                <w:sz w:val="15"/>
              </w:rPr>
              <w:t>SFA-nitinol</w:t>
            </w:r>
          </w:p>
        </w:tc>
        <w:tc>
          <w:tcPr>
            <w:tcW w:type="dxa" w:w="960"/>
          </w:tcPr>
          <w:p>
            <w:r>
              <w:rPr>
                <w:sz w:val="15"/>
              </w:rPr>
            </w:r>
            <w:r>
              <w:rPr>
                <w:sz w:val="15"/>
              </w:rPr>
              <w:t>Femoropopliteal</w:t>
            </w:r>
          </w:p>
        </w:tc>
        <w:tc>
          <w:tcPr>
            <w:tcW w:type="dxa" w:w="960"/>
          </w:tcPr>
          <w:p>
            <w:r>
              <w:rPr>
                <w:sz w:val="15"/>
              </w:rPr>
            </w:r>
            <w:r>
              <w:rPr>
                <w:sz w:val="15"/>
              </w:rPr>
              <w:t>12.7%</w:t>
            </w:r>
          </w:p>
        </w:tc>
        <w:tc>
          <w:tcPr>
            <w:tcW w:type="dxa" w:w="960"/>
          </w:tcPr>
          <w:p>
            <w:r>
              <w:rPr>
                <w:sz w:val="15"/>
              </w:rPr>
            </w:r>
            <w:r>
              <w:rPr>
                <w:sz w:val="15"/>
              </w:rPr>
              <w:t>14.1%</w:t>
            </w:r>
          </w:p>
        </w:tc>
        <w:tc>
          <w:tcPr>
            <w:tcW w:type="dxa" w:w="960"/>
          </w:tcPr>
          <w:p>
            <w:r>
              <w:rPr>
                <w:sz w:val="15"/>
              </w:rPr>
            </w:r>
            <w:r>
              <w:rPr>
                <w:sz w:val="15"/>
              </w:rPr>
              <w:t>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0.70</w:t>
            </w:r>
          </w:p>
        </w:tc>
      </w:tr>
      <w:tr>
        <w:tc>
          <w:tcPr>
            <w:tcW w:type="dxa" w:w="960"/>
          </w:tcPr>
          <w:p>
            <w:r>
              <w:rPr>
                <w:sz w:val="15"/>
              </w:rPr>
            </w:r>
            <w:r>
              <w:rPr>
                <w:sz w:val="15"/>
              </w:rPr>
              <w:t>BTK-DCB</w:t>
            </w:r>
          </w:p>
        </w:tc>
        <w:tc>
          <w:tcPr>
            <w:tcW w:type="dxa" w:w="960"/>
          </w:tcPr>
          <w:p>
            <w:r>
              <w:rPr>
                <w:sz w:val="15"/>
              </w:rPr>
            </w:r>
            <w:r>
              <w:rPr>
                <w:sz w:val="15"/>
              </w:rPr>
              <w:t>Below the knee</w:t>
            </w:r>
          </w:p>
        </w:tc>
        <w:tc>
          <w:tcPr>
            <w:tcW w:type="dxa" w:w="960"/>
          </w:tcPr>
          <w:p>
            <w:r>
              <w:rPr>
                <w:sz w:val="15"/>
              </w:rPr>
            </w:r>
            <w:r>
              <w:rPr>
                <w:sz w:val="15"/>
              </w:rPr>
              <w:t>9.2%</w:t>
            </w:r>
          </w:p>
        </w:tc>
        <w:tc>
          <w:tcPr>
            <w:tcW w:type="dxa" w:w="960"/>
          </w:tcPr>
          <w:p>
            <w:r>
              <w:rPr>
                <w:sz w:val="15"/>
              </w:rPr>
            </w:r>
            <w:r>
              <w:rPr>
                <w:sz w:val="15"/>
              </w:rPr>
              <w:t>11.2%</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0.70</w:t>
            </w:r>
          </w:p>
        </w:tc>
      </w:tr>
      <w:tr>
        <w:tc>
          <w:tcPr>
            <w:tcW w:type="dxa" w:w="960"/>
          </w:tcPr>
          <w:p>
            <w:r>
              <w:rPr>
                <w:sz w:val="15"/>
              </w:rPr>
            </w:r>
            <w:r>
              <w:rPr>
                <w:sz w:val="15"/>
              </w:rPr>
              <w:t>BTK-POBA</w:t>
            </w:r>
          </w:p>
        </w:tc>
        <w:tc>
          <w:tcPr>
            <w:tcW w:type="dxa" w:w="960"/>
          </w:tcPr>
          <w:p>
            <w:r>
              <w:rPr>
                <w:sz w:val="15"/>
              </w:rPr>
            </w:r>
            <w:r>
              <w:rPr>
                <w:sz w:val="15"/>
              </w:rPr>
              <w:t>Below the knee</w:t>
            </w:r>
          </w:p>
        </w:tc>
        <w:tc>
          <w:tcPr>
            <w:tcW w:type="dxa" w:w="960"/>
          </w:tcPr>
          <w:p>
            <w:r>
              <w:rPr>
                <w:sz w:val="15"/>
              </w:rPr>
            </w:r>
            <w:r>
              <w:rPr>
                <w:sz w:val="15"/>
              </w:rPr>
              <w:t>13.1%</w:t>
            </w:r>
          </w:p>
        </w:tc>
        <w:tc>
          <w:tcPr>
            <w:tcW w:type="dxa" w:w="960"/>
          </w:tcPr>
          <w:p>
            <w:r>
              <w:rPr>
                <w:sz w:val="15"/>
              </w:rPr>
            </w:r>
            <w:r>
              <w:rPr>
                <w:sz w:val="15"/>
              </w:rPr>
              <w:t>17.4%</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0.70</w:t>
            </w:r>
          </w:p>
        </w:tc>
      </w:tr>
      <w:tr>
        <w:tc>
          <w:tcPr>
            <w:tcW w:type="dxa" w:w="960"/>
          </w:tcPr>
          <w:p>
            <w:r>
              <w:rPr>
                <w:sz w:val="15"/>
              </w:rPr>
            </w:r>
            <w:r>
              <w:rPr>
                <w:sz w:val="15"/>
              </w:rPr>
              <w:t>CAR-stent</w:t>
            </w:r>
          </w:p>
        </w:tc>
        <w:tc>
          <w:tcPr>
            <w:tcW w:type="dxa" w:w="960"/>
          </w:tcPr>
          <w:p>
            <w:r>
              <w:rPr>
                <w:sz w:val="15"/>
              </w:rPr>
            </w:r>
            <w:r>
              <w:rPr>
                <w:sz w:val="15"/>
              </w:rPr>
              <w:t>Carotid</w:t>
            </w:r>
          </w:p>
        </w:tc>
        <w:tc>
          <w:tcPr>
            <w:tcW w:type="dxa" w:w="960"/>
          </w:tcPr>
          <w:p>
            <w:r>
              <w:rPr>
                <w:sz w:val="15"/>
              </w:rPr>
            </w:r>
            <w:r>
              <w:rPr>
                <w:sz w:val="15"/>
              </w:rPr>
              <w:t>0.6%</w:t>
            </w:r>
          </w:p>
        </w:tc>
        <w:tc>
          <w:tcPr>
            <w:tcW w:type="dxa" w:w="960"/>
          </w:tcPr>
          <w:p>
            <w:r>
              <w:rPr>
                <w:sz w:val="15"/>
              </w:rPr>
            </w:r>
            <w:r>
              <w:rPr>
                <w:sz w:val="15"/>
              </w:rPr>
              <w:t>0.6%</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0.60</w:t>
            </w:r>
          </w:p>
        </w:tc>
      </w:tr>
      <w:tr>
        <w:tc>
          <w:tcPr>
            <w:tcW w:type="dxa" w:w="960"/>
          </w:tcPr>
          <w:p>
            <w:r>
              <w:rPr>
                <w:sz w:val="15"/>
              </w:rPr>
            </w:r>
            <w:r>
              <w:rPr>
                <w:sz w:val="15"/>
              </w:rPr>
              <w:t>ILIAC-stent</w:t>
            </w:r>
          </w:p>
        </w:tc>
        <w:tc>
          <w:tcPr>
            <w:tcW w:type="dxa" w:w="960"/>
          </w:tcPr>
          <w:p>
            <w:r>
              <w:rPr>
                <w:sz w:val="15"/>
              </w:rPr>
            </w:r>
            <w:r>
              <w:rPr>
                <w:sz w:val="15"/>
              </w:rPr>
              <w:t>Iliac</w:t>
            </w:r>
          </w:p>
        </w:tc>
        <w:tc>
          <w:tcPr>
            <w:tcW w:type="dxa" w:w="960"/>
          </w:tcPr>
          <w:p>
            <w:r>
              <w:rPr>
                <w:sz w:val="15"/>
              </w:rPr>
            </w:r>
            <w:r>
              <w:rPr>
                <w:sz w:val="15"/>
              </w:rPr>
              <w:t>2.8%</w:t>
            </w:r>
          </w:p>
        </w:tc>
        <w:tc>
          <w:tcPr>
            <w:tcW w:type="dxa" w:w="960"/>
          </w:tcPr>
          <w:p>
            <w:r>
              <w:rPr>
                <w:sz w:val="15"/>
              </w:rPr>
            </w:r>
            <w:r>
              <w:rPr>
                <w:sz w:val="15"/>
              </w:rPr>
              <w:t>2.9%</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0.70</w:t>
            </w:r>
          </w:p>
        </w:tc>
      </w:tr>
      <w:tr>
        <w:tc>
          <w:tcPr>
            <w:tcW w:type="dxa" w:w="960"/>
          </w:tcPr>
          <w:p>
            <w:r>
              <w:rPr>
                <w:sz w:val="15"/>
              </w:rPr>
            </w:r>
            <w:r>
              <w:rPr>
                <w:sz w:val="15"/>
              </w:rPr>
              <w:t>RENAL-stent</w:t>
            </w:r>
          </w:p>
        </w:tc>
        <w:tc>
          <w:tcPr>
            <w:tcW w:type="dxa" w:w="960"/>
          </w:tcPr>
          <w:p>
            <w:r>
              <w:rPr>
                <w:sz w:val="15"/>
              </w:rPr>
            </w:r>
            <w:r>
              <w:rPr>
                <w:sz w:val="15"/>
              </w:rPr>
              <w:t>Renal</w:t>
            </w:r>
          </w:p>
        </w:tc>
        <w:tc>
          <w:tcPr>
            <w:tcW w:type="dxa" w:w="960"/>
          </w:tcPr>
          <w:p>
            <w:r>
              <w:rPr>
                <w:sz w:val="15"/>
              </w:rPr>
            </w:r>
            <w:r>
              <w:rPr>
                <w:sz w:val="15"/>
              </w:rPr>
              <w:t>5.9%</w:t>
            </w:r>
          </w:p>
        </w:tc>
        <w:tc>
          <w:tcPr>
            <w:tcW w:type="dxa" w:w="960"/>
          </w:tcPr>
          <w:p>
            <w:r>
              <w:rPr>
                <w:sz w:val="15"/>
              </w:rPr>
            </w:r>
            <w:r>
              <w:rPr>
                <w:sz w:val="15"/>
              </w:rPr>
              <w:t>5.9%</w:t>
            </w:r>
          </w:p>
        </w:tc>
        <w:tc>
          <w:tcPr>
            <w:tcW w:type="dxa" w:w="960"/>
          </w:tcPr>
          <w:p>
            <w:r>
              <w:rPr>
                <w:sz w:val="15"/>
              </w:rPr>
            </w:r>
            <w:r>
              <w:rPr>
                <w:sz w:val="15"/>
              </w:rPr>
              <w:t>CD-TLR</w:t>
            </w:r>
          </w:p>
        </w:tc>
        <w:tc>
          <w:tcPr>
            <w:tcW w:type="dxa" w:w="960"/>
          </w:tcPr>
          <w:p>
            <w:r>
              <w:rPr>
                <w:sz w:val="15"/>
              </w:rPr>
            </w:r>
            <w:r>
              <w:rPr>
                <w:sz w:val="15"/>
              </w:rPr>
              <w:t>clinical</w:t>
            </w:r>
          </w:p>
        </w:tc>
        <w:tc>
          <w:tcPr>
            <w:tcW w:type="dxa" w:w="960"/>
          </w:tcPr>
          <w:p>
            <w:r>
              <w:rPr>
                <w:sz w:val="15"/>
              </w:rPr>
            </w:r>
            <w:r>
              <w:rPr>
                <w:sz w:val="15"/>
              </w:rPr>
              <w:t>lesion</w:t>
            </w:r>
          </w:p>
        </w:tc>
        <w:tc>
          <w:tcPr>
            <w:tcW w:type="dxa" w:w="960"/>
          </w:tcPr>
          <w:p>
            <w:r>
              <w:rPr>
                <w:sz w:val="15"/>
              </w:rPr>
            </w:r>
            <w:r>
              <w:rPr>
                <w:sz w:val="15"/>
              </w:rPr>
              <w:t>312</w:t>
            </w:r>
          </w:p>
        </w:tc>
        <w:tc>
          <w:tcPr>
            <w:tcW w:type="dxa" w:w="960"/>
          </w:tcPr>
          <w:p>
            <w:r>
              <w:rPr>
                <w:sz w:val="15"/>
              </w:rPr>
            </w:r>
            <w:r>
              <w:rPr>
                <w:sz w:val="15"/>
              </w:rPr>
              <w:t>0.45</w:t>
            </w:r>
          </w:p>
        </w:tc>
      </w:tr>
      <w:tr>
        <w:tc>
          <w:tcPr>
            <w:tcW w:type="dxa" w:w="960"/>
          </w:tcPr>
          <w:p>
            <w:r>
              <w:rPr>
                <w:sz w:val="15"/>
              </w:rPr>
            </w:r>
            <w:r>
              <w:rPr>
                <w:sz w:val="15"/>
              </w:rPr>
              <w:t>COR-undersized (excluded)</w:t>
            </w:r>
          </w:p>
        </w:tc>
        <w:tc>
          <w:tcPr>
            <w:tcW w:type="dxa" w:w="960"/>
          </w:tcPr>
          <w:p>
            <w:r>
              <w:rPr>
                <w:sz w:val="15"/>
              </w:rPr>
            </w:r>
            <w:r>
              <w:rPr>
                <w:sz w:val="15"/>
              </w:rPr>
              <w:t>Coronary</w:t>
            </w:r>
          </w:p>
        </w:tc>
        <w:tc>
          <w:tcPr>
            <w:tcW w:type="dxa" w:w="960"/>
          </w:tcPr>
          <w:p>
            <w:r>
              <w:rPr>
                <w:sz w:val="15"/>
              </w:rPr>
            </w:r>
            <w:r>
              <w:rPr>
                <w:sz w:val="15"/>
              </w:rPr>
              <w:t>3.9%</w:t>
            </w:r>
          </w:p>
        </w:tc>
        <w:tc>
          <w:tcPr>
            <w:tcW w:type="dxa" w:w="960"/>
          </w:tcPr>
          <w:p>
            <w:r>
              <w:rPr>
                <w:sz w:val="15"/>
              </w:rPr>
            </w:r>
            <w:r>
              <w:rPr>
                <w:sz w:val="15"/>
              </w:rPr>
              <w:t>2.5%</w:t>
            </w:r>
          </w:p>
        </w:tc>
        <w:tc>
          <w:tcPr>
            <w:tcW w:type="dxa" w:w="960"/>
          </w:tcPr>
          <w:p>
            <w:r>
              <w:rPr>
                <w:sz w:val="15"/>
              </w:rPr>
            </w:r>
            <w:r>
              <w:rPr>
                <w:sz w:val="15"/>
              </w:rPr>
              <w:t>TVF</w:t>
            </w:r>
          </w:p>
        </w:tc>
        <w:tc>
          <w:tcPr>
            <w:tcW w:type="dxa" w:w="960"/>
          </w:tcPr>
          <w:p>
            <w:r>
              <w:rPr>
                <w:sz w:val="15"/>
              </w:rPr>
            </w:r>
            <w:r>
              <w:rPr>
                <w:sz w:val="15"/>
              </w:rPr>
              <w:t>clinical</w:t>
            </w:r>
          </w:p>
        </w:tc>
        <w:tc>
          <w:tcPr>
            <w:tcW w:type="dxa" w:w="960"/>
          </w:tcPr>
          <w:p>
            <w:r>
              <w:rPr>
                <w:sz w:val="15"/>
              </w:rPr>
            </w:r>
            <w:r>
              <w:rPr>
                <w:sz w:val="15"/>
              </w:rPr>
              <w:t>vessel</w:t>
            </w:r>
          </w:p>
        </w:tc>
        <w:tc>
          <w:tcPr>
            <w:tcW w:type="dxa" w:w="960"/>
          </w:tcPr>
          <w:p>
            <w:r>
              <w:rPr>
                <w:sz w:val="15"/>
              </w:rPr>
            </w:r>
            <w:r>
              <w:rPr>
                <w:sz w:val="15"/>
              </w:rPr>
              <w:t>365</w:t>
            </w:r>
          </w:p>
        </w:tc>
        <w:tc>
          <w:tcPr>
            <w:tcW w:type="dxa" w:w="960"/>
          </w:tcPr>
          <w:p>
            <w:r>
              <w:rPr>
                <w:sz w:val="15"/>
              </w:rPr>
            </w:r>
            <w:r>
              <w:rPr>
                <w:sz w:val="15"/>
              </w:rPr>
              <w:t>0.00</w:t>
            </w:r>
          </w:p>
        </w:tc>
      </w:tr>
      <w:tr>
        <w:tc>
          <w:tcPr>
            <w:tcW w:type="dxa" w:w="960"/>
          </w:tcPr>
          <w:p>
            <w:r>
              <w:rPr>
                <w:sz w:val="15"/>
              </w:rPr>
            </w:r>
            <w:r>
              <w:rPr>
                <w:sz w:val="15"/>
              </w:rPr>
              <w:t>SFA-long-bare (excluded)</w:t>
            </w:r>
          </w:p>
        </w:tc>
        <w:tc>
          <w:tcPr>
            <w:tcW w:type="dxa" w:w="960"/>
          </w:tcPr>
          <w:p>
            <w:r>
              <w:rPr>
                <w:sz w:val="15"/>
              </w:rPr>
            </w:r>
            <w:r>
              <w:rPr>
                <w:sz w:val="15"/>
              </w:rPr>
              <w:t>Femoropopliteal</w:t>
            </w:r>
          </w:p>
        </w:tc>
        <w:tc>
          <w:tcPr>
            <w:tcW w:type="dxa" w:w="960"/>
          </w:tcPr>
          <w:p>
            <w:r>
              <w:rPr>
                <w:sz w:val="15"/>
              </w:rPr>
            </w:r>
            <w:r>
              <w:rPr>
                <w:sz w:val="15"/>
              </w:rPr>
              <w:t>31.8%</w:t>
            </w:r>
          </w:p>
        </w:tc>
        <w:tc>
          <w:tcPr>
            <w:tcW w:type="dxa" w:w="960"/>
          </w:tcPr>
          <w:p>
            <w:r>
              <w:rPr>
                <w:sz w:val="15"/>
              </w:rPr>
            </w:r>
            <w:r>
              <w:rPr>
                <w:sz w:val="15"/>
              </w:rPr>
              <w:t>52.1%</w:t>
            </w:r>
          </w:p>
        </w:tc>
        <w:tc>
          <w:tcPr>
            <w:tcW w:type="dxa" w:w="960"/>
          </w:tcPr>
          <w:p>
            <w:r>
              <w:rPr>
                <w:sz w:val="15"/>
              </w:rPr>
            </w:r>
            <w:r>
              <w:rPr>
                <w:sz w:val="15"/>
              </w:rPr>
              <w:t>TLR</w:t>
            </w:r>
          </w:p>
        </w:tc>
        <w:tc>
          <w:tcPr>
            <w:tcW w:type="dxa" w:w="960"/>
          </w:tcPr>
          <w:p>
            <w:r>
              <w:rPr>
                <w:sz w:val="15"/>
              </w:rPr>
            </w:r>
            <w:r>
              <w:rPr>
                <w:sz w:val="15"/>
              </w:rPr>
              <w:t>protocol surveillance</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0.00</w:t>
            </w:r>
          </w:p>
        </w:tc>
      </w:tr>
      <w:tr>
        <w:tc>
          <w:tcPr>
            <w:tcW w:type="dxa" w:w="960"/>
          </w:tcPr>
          <w:p>
            <w:r>
              <w:rPr>
                <w:sz w:val="15"/>
              </w:rPr>
            </w:r>
            <w:r>
              <w:rPr>
                <w:sz w:val="15"/>
              </w:rPr>
              <w:t>COR-DES-complex (excluded)</w:t>
            </w:r>
          </w:p>
        </w:tc>
        <w:tc>
          <w:tcPr>
            <w:tcW w:type="dxa" w:w="960"/>
          </w:tcPr>
          <w:p>
            <w:r>
              <w:rPr>
                <w:sz w:val="15"/>
              </w:rPr>
            </w:r>
            <w:r>
              <w:rPr>
                <w:sz w:val="15"/>
              </w:rPr>
              <w:t>Coronary</w:t>
            </w:r>
          </w:p>
        </w:tc>
        <w:tc>
          <w:tcPr>
            <w:tcW w:type="dxa" w:w="960"/>
          </w:tcPr>
          <w:p>
            <w:r>
              <w:rPr>
                <w:sz w:val="15"/>
              </w:rPr>
            </w:r>
            <w:r>
              <w:rPr>
                <w:sz w:val="15"/>
              </w:rPr>
              <w:t>5.7%</w:t>
            </w:r>
          </w:p>
        </w:tc>
        <w:tc>
          <w:tcPr>
            <w:tcW w:type="dxa" w:w="960"/>
          </w:tcPr>
          <w:p>
            <w:r>
              <w:rPr>
                <w:sz w:val="15"/>
              </w:rPr>
            </w:r>
            <w:r>
              <w:rPr>
                <w:sz w:val="15"/>
              </w:rPr>
              <w:t>2.4%</w:t>
            </w:r>
          </w:p>
        </w:tc>
        <w:tc>
          <w:tcPr>
            <w:tcW w:type="dxa" w:w="960"/>
          </w:tcPr>
          <w:p>
            <w:r>
              <w:rPr>
                <w:sz w:val="15"/>
              </w:rPr>
            </w:r>
            <w:r>
              <w:rPr>
                <w:sz w:val="15"/>
              </w:rPr>
              <w:t>TLF</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0.00</w:t>
            </w:r>
          </w:p>
        </w:tc>
      </w:tr>
      <w:tr>
        <w:tc>
          <w:tcPr>
            <w:tcW w:type="dxa" w:w="960"/>
          </w:tcPr>
          <w:p>
            <w:r>
              <w:rPr>
                <w:sz w:val="15"/>
              </w:rPr>
            </w:r>
            <w:r>
              <w:rPr>
                <w:sz w:val="15"/>
              </w:rPr>
              <w:t>COR-DCB-small (excluded)</w:t>
            </w:r>
          </w:p>
        </w:tc>
        <w:tc>
          <w:tcPr>
            <w:tcW w:type="dxa" w:w="960"/>
          </w:tcPr>
          <w:p>
            <w:r>
              <w:rPr>
                <w:sz w:val="15"/>
              </w:rPr>
            </w:r>
            <w:r>
              <w:rPr>
                <w:sz w:val="15"/>
              </w:rPr>
              <w:t>Coronary</w:t>
            </w:r>
          </w:p>
        </w:tc>
        <w:tc>
          <w:tcPr>
            <w:tcW w:type="dxa" w:w="960"/>
          </w:tcPr>
          <w:p>
            <w:r>
              <w:rPr>
                <w:sz w:val="15"/>
              </w:rPr>
            </w:r>
            <w:r>
              <w:rPr>
                <w:sz w:val="15"/>
              </w:rPr>
              <w:t>4.4%</w:t>
            </w:r>
          </w:p>
        </w:tc>
        <w:tc>
          <w:tcPr>
            <w:tcW w:type="dxa" w:w="960"/>
          </w:tcPr>
          <w:p>
            <w:r>
              <w:rPr>
                <w:sz w:val="15"/>
              </w:rPr>
            </w:r>
            <w:r>
              <w:rPr>
                <w:sz w:val="15"/>
              </w:rPr>
              <w:t>5.7%</w:t>
            </w:r>
          </w:p>
        </w:tc>
        <w:tc>
          <w:tcPr>
            <w:tcW w:type="dxa" w:w="960"/>
          </w:tcPr>
          <w:p>
            <w:r>
              <w:rPr>
                <w:sz w:val="15"/>
              </w:rPr>
            </w:r>
            <w:r>
              <w:rPr>
                <w:sz w:val="15"/>
              </w:rPr>
              <w:t>TLF</w:t>
            </w:r>
          </w:p>
        </w:tc>
        <w:tc>
          <w:tcPr>
            <w:tcW w:type="dxa" w:w="960"/>
          </w:tcPr>
          <w:p>
            <w:r>
              <w:rPr>
                <w:sz w:val="15"/>
              </w:rPr>
            </w:r>
            <w:r>
              <w:rPr>
                <w:sz w:val="15"/>
              </w:rPr>
              <w:t>clinical</w:t>
            </w:r>
          </w:p>
        </w:tc>
        <w:tc>
          <w:tcPr>
            <w:tcW w:type="dxa" w:w="960"/>
          </w:tcPr>
          <w:p>
            <w:r>
              <w:rPr>
                <w:sz w:val="15"/>
              </w:rPr>
            </w:r>
            <w:r>
              <w:rPr>
                <w:sz w:val="15"/>
              </w:rPr>
              <w:t>patient</w:t>
            </w:r>
          </w:p>
        </w:tc>
        <w:tc>
          <w:tcPr>
            <w:tcW w:type="dxa" w:w="960"/>
          </w:tcPr>
          <w:p>
            <w:r>
              <w:rPr>
                <w:sz w:val="15"/>
              </w:rPr>
            </w:r>
            <w:r>
              <w:rPr>
                <w:sz w:val="15"/>
              </w:rPr>
              <w:t>365</w:t>
            </w:r>
          </w:p>
        </w:tc>
        <w:tc>
          <w:tcPr>
            <w:tcW w:type="dxa" w:w="960"/>
          </w:tcPr>
          <w:p>
            <w:r>
              <w:rPr>
                <w:sz w:val="15"/>
              </w:rPr>
            </w:r>
            <w:r>
              <w:rPr>
                <w:sz w:val="15"/>
              </w:rPr>
              <w:t>0.00</w:t>
            </w:r>
          </w:p>
        </w:tc>
      </w:tr>
    </w:tbl>
    <w:p/>
    <w:p>
      <w:r>
        <w:rPr>
          <w:b/>
        </w:rPr>
        <w:t>Table 1 (continued). Primary citations, and what changed.</w:t>
      </w:r>
    </w:p>
    <w:p>
      <w:pPr>
        <w:spacing w:after="80"/>
      </w:pPr>
      <w:r>
        <w:rPr>
          <w:b/>
          <w:sz w:val="17"/>
        </w:rPr>
        <w:t xml:space="preserve">COR-DES-modern. </w:t>
      </w:r>
      <w:r>
        <w:rPr>
          <w:sz w:val="17"/>
        </w:rPr>
        <w:t>Kandzari DE, Mauri L, Koolen JJ, et al; BIOFLOW V Investigators. Ultrathin, bioresorbable polymer sirolimus-eluting stents versus thin, durable polymer everolimus-eluting stents in patients undergoing coronary revascularisation (BIOFLOW V). Lancet 2017;390(10105):1843-1852. doi:10.1016/S0140-6736(17)32249-3</w:t>
      </w:r>
      <w:r>
        <w:rPr>
          <w:i/>
          <w:sz w:val="17"/>
        </w:rPr>
        <w:t xml:space="preserve"> — The first anchor set put 4.5% here. That value appears nowhere in BIOFLOW V, for any arm or endpoint. The trial's CD-TLR is 2.0% and its TLF is 6.2%. Note also that this cohort is 74% ACC/AHA B2/C lesions, 51% ACS and 35% diabetic, so it anchors a CONTEMPORARY ALL-COMERS population, not the simple-lesion stratum the old anchor claimed. The lesion above was changed to match the trial, not the other way round.</w:t>
      </w:r>
    </w:p>
    <w:p>
      <w:pPr>
        <w:spacing w:after="80"/>
      </w:pPr>
      <w:r>
        <w:rPr>
          <w:b/>
          <w:sz w:val="17"/>
        </w:rPr>
        <w:t xml:space="preserve">COR-BRS-plla. </w:t>
      </w:r>
      <w:r>
        <w:rPr>
          <w:sz w:val="17"/>
        </w:rPr>
        <w:t>Ellis SG, Kereiakes DJ, Metzger DC, et al; ABSORB III Investigators. Everolimus-eluting bioresorbable scaffolds for coronary artery disease. N Engl J Med 2015;373(20):1905-1915. doi:10.1056/NEJMoa1509038</w:t>
      </w:r>
      <w:r>
        <w:rPr>
          <w:i/>
          <w:sz w:val="17"/>
        </w:rPr>
        <w:t xml:space="preserve"> — ABSORB III reports both: TLF 7.8% and ischemia-driven TLR 3.0% at one year. The old anchor used 7.8%. Under a CD-TLR rule the correct value is 3.0%, because TLF here is dominated by periprocedural target-vessel MI (6.0%), not by revascularisation. Device is first-generation Absorb (157 um), withdrawn in 2017; this is a 1-year number and says nothing about the years 1-3 excess that trial later showed.</w:t>
      </w:r>
    </w:p>
    <w:p>
      <w:pPr>
        <w:spacing w:after="80"/>
      </w:pPr>
      <w:r>
        <w:rPr>
          <w:b/>
          <w:sz w:val="17"/>
        </w:rPr>
        <w:t xml:space="preserve">COR-BMS. </w:t>
      </w:r>
      <w:r>
        <w:rPr>
          <w:sz w:val="17"/>
        </w:rPr>
        <w:t>Urban P, Meredith IT, Abizaid A, et al; LEADERS FREE Investigators. Polymer-free drug-coated coronary stents in patients at high bleeding risk. N Engl J Med 2015;373(21):2038-2047. doi:10.1056/NEJMoa1503943</w:t>
      </w:r>
      <w:r>
        <w:rPr>
          <w:i/>
          <w:sz w:val="17"/>
        </w:rPr>
        <w:t xml:space="preserve"> — Old anchor 16%, which came from the bare-metal trials of the 1990s that mandated routine follow-up angiography; oculostenotic-reflex TLR is a different construct and cannot sit in a CD-TLR column. Window is 390 days, not 365. Population is high-bleeding-risk, mean age 75.7, one month of DAPT, and no protocol angiography, so this is a floor for bare-metal CD-TLR rather than a general value. LEADERS FREE III gives 10.6% for the same design, which supports ~10% rather than ~16%.</w:t>
      </w:r>
    </w:p>
    <w:p>
      <w:pPr>
        <w:spacing w:after="80"/>
      </w:pPr>
      <w:r>
        <w:rPr>
          <w:b/>
          <w:sz w:val="17"/>
        </w:rPr>
        <w:t xml:space="preserve">COR-POBA. </w:t>
      </w:r>
      <w:r>
        <w:rPr>
          <w:sz w:val="17"/>
        </w:rPr>
        <w:t>George CJ, Baim DS, Brinker JA, et al. One-year follow-up of the Stent Restenosis (STRESS I) Study. Am J Cardiol 1998;81(7):860-865. doi:10.1016/s0002-9149(98)00004-6</w:t>
      </w:r>
      <w:r>
        <w:rPr>
          <w:i/>
          <w:sz w:val="17"/>
        </w:rPr>
        <w:t xml:space="preserve"> — Old anchor 32%, which is the 6-month ANGIOGRAPHIC restenosis rate of the STENT arm of the same trial -- wrong arm, wrong endpoint, wrong timepoint. The balloon arm's 1-year symptom-driven TLR is 17%. Enrolled 1991-93 in &gt;=3.0 mm vessels with discrete lesions. 'Symptom-driven' without routine angiography biases this DOWN relative to a modern CEC-adjudicated CD-TLR, in the opposite direction to the surveillance-driven anchors below. It carries 22 years of era effect against the peripheral anchors and should not be read as a clean cross-bed contrast.</w:t>
      </w:r>
    </w:p>
    <w:p>
      <w:pPr>
        <w:spacing w:after="80"/>
      </w:pPr>
      <w:r>
        <w:rPr>
          <w:b/>
          <w:sz w:val="17"/>
        </w:rPr>
        <w:t xml:space="preserve">SFA-DCB. </w:t>
      </w:r>
      <w:r>
        <w:rPr>
          <w:sz w:val="17"/>
        </w:rPr>
        <w:t>Tepe G, Laird J, Schneider P, et al; IN.PACT SFA Trial Investigators. Drug-coated balloon versus standard percutaneous transluminal angioplasty for the treatment of superficial femoral and popliteal peripheral artery disease: 12-month results from the IN.PACT SFA randomized trial. Circulation 2015;131(5):495-502. doi:10.1161/CIRCULATIONAHA.114.011004</w:t>
      </w:r>
      <w:r>
        <w:rPr>
          <w:i/>
          <w:sz w:val="17"/>
        </w:rPr>
        <w:t xml:space="preserve"> — Survived audit unchanged. Shares its trial, sites, CEC and CD-TLR trigger definition with SFA-POBA below: these are two arms, not two independent anchors.</w:t>
      </w:r>
    </w:p>
    <w:p>
      <w:pPr>
        <w:spacing w:after="80"/>
      </w:pPr>
      <w:r>
        <w:rPr>
          <w:b/>
          <w:sz w:val="17"/>
        </w:rPr>
        <w:t xml:space="preserve">SFA-POBA. </w:t>
      </w:r>
      <w:r>
        <w:rPr>
          <w:sz w:val="17"/>
        </w:rPr>
        <w:t>Tepe G, Laird J, Schneider P, et al; IN.PACT SFA Trial Investigators. Circulation 2015;131(5):495-502. doi:10.1161/CIRCULATIONAHA.114.011004</w:t>
      </w:r>
      <w:r>
        <w:rPr>
          <w:i/>
          <w:sz w:val="17"/>
        </w:rPr>
        <w:t xml:space="preserve"> — Survived audit unchanged. The same arm's primary patency loss is 47.6%, which is what an endpoint substitution here would have produced.</w:t>
      </w:r>
    </w:p>
    <w:p>
      <w:pPr>
        <w:spacing w:after="80"/>
      </w:pPr>
      <w:r>
        <w:rPr>
          <w:b/>
          <w:sz w:val="17"/>
        </w:rPr>
        <w:t xml:space="preserve">SFA-nitinol. </w:t>
      </w:r>
      <w:r>
        <w:rPr>
          <w:sz w:val="17"/>
        </w:rPr>
        <w:t>Laird JR, Katzen BT, Scheinert D, et al; RESILIENT Investigators. Nitinol stent implantation versus balloon angioplasty for lesions in the superficial femoral and proximal popliteal arteries of patients with claudication. Circ Cardiovasc Interv 2010;3(3):267-276. doi:10.1161/CIRCINTERVENTIONS.109.903468</w:t>
      </w:r>
      <w:r>
        <w:rPr>
          <w:i/>
          <w:sz w:val="17"/>
        </w:rPr>
        <w:t xml:space="preserve"> — Freedom from TLR 87.3% at 12 months, i.e. 12.7%. The paper does not use the words 'clinically driven', so this is all-cause TLR and is an upper bound on CD-TLR, not the same construct.</w:t>
      </w:r>
    </w:p>
    <w:p>
      <w:pPr>
        <w:spacing w:after="80"/>
      </w:pPr>
      <w:r>
        <w:rPr>
          <w:b/>
          <w:sz w:val="17"/>
        </w:rPr>
        <w:t xml:space="preserve">BTK-DCB. </w:t>
      </w:r>
      <w:r>
        <w:rPr>
          <w:sz w:val="17"/>
        </w:rPr>
        <w:t>Zeller T, Baumgartner I, Scheinert D, et al; IN.PACT DEEP Trial Investigators. Drug-eluting balloon versus standard balloon angioplasty for infrapopliteal arterial revascularization in critical limb ischemia: 12-month results from the IN.PACT DEEP randomized trial. J Am Coll Cardiol 2014;64(15):1568-1576. doi:10.1016/j.jacc.2014.06.1198</w:t>
      </w:r>
      <w:r>
        <w:rPr>
          <w:i/>
          <w:sz w:val="17"/>
        </w:rPr>
        <w:t xml:space="preserve"> — Old anchor 12%, which is the midpoint of this trial's two arms (9.2 and 13.1). Averaging two arms is not an anchor. IN.PACT DEEP was NEGATIVE: it missed its primary efficacy endpoints, showed no benefit over plain angioplasty, carried a major-amputation signal (8.8% against 3.6%, p = 0.080), and IN.PACT Amphirion was withdrawn worldwide in November 2013. This arm is used because it is the best-adjudicated 12-month CD-TLR in this bed, not because it is good care, and lambda0(btk) inherits that. Rutherford 4-6 CLI, so death and major amputation compete with revascularisation and pull CD-TLR down for reasons that are not device-vessel matching.</w:t>
      </w:r>
    </w:p>
    <w:p>
      <w:pPr>
        <w:spacing w:after="80"/>
      </w:pPr>
      <w:r>
        <w:rPr>
          <w:b/>
          <w:sz w:val="17"/>
        </w:rPr>
        <w:t xml:space="preserve">BTK-POBA. </w:t>
      </w:r>
      <w:r>
        <w:rPr>
          <w:sz w:val="17"/>
        </w:rPr>
        <w:t>Zeller T, Baumgartner I, Scheinert D, et al; IN.PACT DEEP Trial Investigators. J Am Coll Cardiol 2014;64(15):1568-1576. doi:10.1016/j.jacc.2014.06.1198</w:t>
      </w:r>
      <w:r>
        <w:rPr>
          <w:i/>
          <w:sz w:val="17"/>
        </w:rPr>
        <w:t xml:space="preserve"> — Old anchor 25%. Actual 13.1% (14/107). Same trial as BTK-DCB.</w:t>
      </w:r>
    </w:p>
    <w:p>
      <w:pPr>
        <w:spacing w:after="80"/>
      </w:pPr>
      <w:r>
        <w:rPr>
          <w:b/>
          <w:sz w:val="17"/>
        </w:rPr>
        <w:t xml:space="preserve">CAR-stent. </w:t>
      </w:r>
      <w:r>
        <w:rPr>
          <w:sz w:val="17"/>
        </w:rPr>
        <w:t>Rosenfield K, Matsumura JS, Chaturvedi S, et al; ACT I Investigators. Randomized trial of stent versus surgery for asymptomatic carotid stenosis. N Engl J Med 2016;374(11):1011-1020. doi:10.1056/NEJMoa1515706</w:t>
      </w:r>
      <w:r>
        <w:rPr>
          <w:i/>
          <w:sz w:val="17"/>
        </w:rPr>
        <w:t xml:space="preserve"> — Old anchor 3.5%, which is ACT I's primary composite SAFETY endpoint (30-day death/stroke/MI plus 1-year ipsilateral stroke). The word 'restenosis' does not appear in that paper. True CD-TLR is 0.6%. At 0.6% this anchor is not distinguishable from zero and carries almost no information: the carotid bed may simply not be calibratable on a CD-TLR scale, because its informative endpoint is duplex restenosis. Weight lowered accordingly, and the bed is fitted trivially.</w:t>
      </w:r>
    </w:p>
    <w:p>
      <w:pPr>
        <w:spacing w:after="80"/>
      </w:pPr>
      <w:r>
        <w:rPr>
          <w:b/>
          <w:sz w:val="17"/>
        </w:rPr>
        <w:t xml:space="preserve">ILIAC-stent. </w:t>
      </w:r>
      <w:r>
        <w:rPr>
          <w:sz w:val="17"/>
        </w:rPr>
        <w:t>Krankenberg H, Zeller T, Ingwersen M, et al. Self-expanding versus balloon-expandable stents for iliac artery occlusive disease: the randomized ICE trial. JACC Cardiovasc Interv 2017;10(16):1694-1704. doi:10.1016/j.jcin.2017.05.015</w:t>
      </w:r>
      <w:r>
        <w:rPr>
          <w:i/>
          <w:sz w:val="17"/>
        </w:rPr>
        <w:t xml:space="preserve"> — Old anchor 4.5%, which is the midpoint of CD-TLR (2.8%) and duplex restenosis (6.1%). Only anchor in this bed, so the bed is fitted trivially.</w:t>
      </w:r>
    </w:p>
    <w:p>
      <w:pPr>
        <w:spacing w:after="80"/>
      </w:pPr>
      <w:r>
        <w:rPr>
          <w:b/>
          <w:sz w:val="17"/>
        </w:rPr>
        <w:t xml:space="preserve">RENAL-stent. </w:t>
      </w:r>
      <w:r>
        <w:rPr>
          <w:sz w:val="17"/>
        </w:rPr>
        <w:t>US FDA Center for Devices and Radiological Health. Summary of Safety and Effectiveness Data, PMA P110001, RX Herculink Elite Renal Stent System (HERCULES trial). 2011. SSED Table 14.</w:t>
      </w:r>
      <w:r>
        <w:rPr>
          <w:i/>
          <w:sz w:val="17"/>
        </w:rPr>
        <w:t xml:space="preserve"> — Old anchor 14%, which is the one-sided 95% upper bound of the 9-month binary restenosis rate (point estimate 10.5%). Clinically indicated TLR is 5.9% (95% CI 2.6-9.2) through 312 days. There is no 12-month revascularisation endpoint in this dossier at all; the 12-month visit collected blood pressure, medication, adverse events and creatinine. Analysis is per-LESION (241 lesions, 202 subjects), not per patient, and the SSED and IFU are the same dataset, not two sources. Weight low and the bed is fitted trivially.</w:t>
      </w:r>
    </w:p>
    <w:p>
      <w:pPr>
        <w:spacing w:after="80"/>
      </w:pPr>
      <w:r>
        <w:rPr>
          <w:b/>
          <w:sz w:val="17"/>
        </w:rPr>
        <w:t xml:space="preserve">COR-undersized. </w:t>
      </w:r>
      <w:r>
        <w:rPr>
          <w:sz w:val="17"/>
        </w:rPr>
        <w:t>Lee SH, Jin X, Lee YJ, et al. Validation of intravascular ultrasound-defined optimal stent expansion criteria for favorable 1-year clinical outcomes. JACC Cardiovasc Interv 2025;18(18):2197-2205. doi:10.1016/j.jcin.2025.07.024</w:t>
      </w:r>
      <w:r>
        <w:rPr>
          <w:i/>
          <w:sz w:val="17"/>
        </w:rPr>
        <w:t xml:space="preserve"> — DROPPED. Old anchor 20%, an author estimate. The best available source is a triple mismatch: the endpoint is vessel-level TVF (includes non-target-lesion TVR); the construct is stent under-EXPANSION against an absolute 5.5 mm2 MSA cut-off, not under-SIZING of diameter, and an absolute cut-off confounds a sizing error with a small vessel; and the devices are mixed second-generation DES, not the ultrathin class. Retained only as an author prior with no formal elicitation.</w:t>
      </w:r>
    </w:p>
    <w:p>
      <w:pPr>
        <w:spacing w:after="80"/>
      </w:pPr>
      <w:r>
        <w:rPr>
          <w:b/>
          <w:sz w:val="17"/>
        </w:rPr>
        <w:t xml:space="preserve">SFA-long-bare. </w:t>
      </w:r>
      <w:r>
        <w:rPr>
          <w:sz w:val="17"/>
        </w:rPr>
        <w:t>Bosiers M, Deloose K, Callaert J, et al. Results of the Protege EverFlex 200-mm-long nitinol stent (ev3) in TASC C and D femoropopliteal lesions (DURABILITY-200). J Vasc Surg 2011;54(4):1042-1050. doi:10.1016/j.jvs.2011.03.272</w:t>
      </w:r>
      <w:r>
        <w:rPr>
          <w:i/>
          <w:sz w:val="17"/>
        </w:rPr>
        <w:t xml:space="preserve"> — DROPPED from the fit. Old anchor 0.350 = 100 - 64.8, which is primary PATENCY loss, not TLR. The available TLR (31.8%) is triggered by protocol duplex surveillance (PSVR &gt; 2.4) with no independent adjudication, so it is an upper bound on CD-TLR by a different mechanism than every other anchor. Mean lesion 242 mm, 27% popliteal involvement, 29% CLI, single arm, two centres.</w:t>
      </w:r>
    </w:p>
    <w:p>
      <w:pPr>
        <w:spacing w:after="80"/>
      </w:pPr>
      <w:r>
        <w:rPr>
          <w:b/>
          <w:sz w:val="17"/>
        </w:rPr>
        <w:t xml:space="preserve">COR-DES-complex. </w:t>
      </w:r>
      <w:r>
        <w:rPr>
          <w:sz w:val="17"/>
        </w:rPr>
        <w:t>Park SH, Han JK, Yang S, et al. Biodegradable polymer versus polymer-free ultrathin sirolimus-eluting stents in complex PCI (HOST-IDEA post hoc). J Am Heart Assoc 2026;15(5):e043441. doi:10.1161/JAHA.125.043441</w:t>
      </w:r>
      <w:r>
        <w:rPr>
          <w:i/>
          <w:sz w:val="17"/>
        </w:rPr>
        <w:t xml:space="preserve"> — DROPPED from the fit. Old anchor 12%, an author estimate. The real number is a TLF composite (5.7%), not CD-TLR, in a post hoc propensity-matched complex-PCI subgroup of 336 patients with 19 events and a hazard-ratio upper bound of 11.26. Kept for a sensitivity analysis, not for the primary fit.</w:t>
      </w:r>
    </w:p>
    <w:p>
      <w:pPr>
        <w:spacing w:after="80"/>
      </w:pPr>
      <w:r>
        <w:rPr>
          <w:b/>
          <w:sz w:val="17"/>
        </w:rPr>
        <w:t xml:space="preserve">COR-DCB-small. </w:t>
      </w:r>
      <w:r>
        <w:rPr>
          <w:sz w:val="17"/>
        </w:rPr>
        <w:t>Tang Y, Qiao S, Su X, et al; RESTORE SVD China Investigators. Drug-coated balloon versus drug-eluting stent for small-vessel disease: the RESTORE SVD China randomized trial. JACC Cardiovasc Interv 2018;11(23):2381-2392. doi:10.1016/j.jcin.2018.09.009</w:t>
      </w:r>
      <w:r>
        <w:rPr>
          <w:i/>
          <w:sz w:val="17"/>
        </w:rPr>
        <w:t xml:space="preserve"> — DROPPED from the fit. Old anchor 8%, an author estimate. The real number is 4.4% TLF -- about five events in 116 patients -- as a secondary endpoint of a trial powered for 9-month in-segment percent diameter stenosis, in lesions pre-selected by successful predilatation. Kept for a sensitivity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