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A1A1A"/>
          <w:sz w:val="32"/>
        </w:rPr>
        <w:t>CLAUDIA CANU FAUTRÉ</w:t>
      </w:r>
    </w:p>
    <w:p>
      <w:pPr>
        <w:jc w:val="center"/>
      </w:pPr>
      <w:r>
        <w:rPr>
          <w:color w:val="555555"/>
          <w:sz w:val="20"/>
        </w:rPr>
        <w:t>Learning Experience Design &amp; Curriculum Architecture  ·  AI-Powered Education  ·  Program Management at Global Scale</w:t>
      </w:r>
    </w:p>
    <w:p>
      <w:pPr>
        <w:jc w:val="center"/>
      </w:pPr>
      <w:r>
        <w:rPr>
          <w:color w:val="666666"/>
          <w:sz w:val="18"/>
        </w:rPr>
        <w:t>San Francisco, CA  ·  +1 (415) 712-6238  ·  claudiacanufautre@gmail.com  ·  github.com/lingua-viva/learning-architecture  ·  linkedin.com/in/claudia-canu-fautre-31b204162</w:t>
      </w:r>
    </w:p>
    <w:p>
      <w:pPr>
        <w:pBdr>
          <w:bottom w:val="single" w:sz="4" w:space="1" w:color="CCCCCC"/>
        </w:pBdr>
      </w:pPr>
      <w:r>
        <w:rPr>
          <w:b/>
          <w:color w:val="1A1A1A"/>
          <w:sz w:val="22"/>
        </w:rPr>
        <w:t>PROFESSIONAL SUMMARY</w:t>
      </w:r>
    </w:p>
    <w:p>
      <w:r>
        <w:rPr>
          <w:sz w:val="19"/>
        </w:rPr>
        <w:t>Curriculum architect and learning experience designer with 10+ years building education systems at global scale — from Google product launches across 40+ countries to building a K–5 curriculum from zero across a 4-campus international school serving 200+ students. Strong writer with 31 publications explaining complex ideas clearly across 5 languages. Documented track record of measurable learning outcomes: on Italy's national Prove MT benchmark, 93% of students improved reading comprehension in one year, with median scores advancing from 5.0 to 8.0 — all second-language learners measured against native speaker norms. Designs learning pathways, assessments, certification structures, and badge-based credential progression that are modular, repeatable, and maintainable. Uses ChatGPT and Claude daily to accelerate curriculum development — generating drafts, test cases, lesson outlines, and differentiated materials while maintaining content quality across programs. Passionate about AI literacy and empowering the workforce with AI. Fluent in Italian, English, French, and Spanish.</w:t>
      </w:r>
    </w:p>
    <w:p>
      <w:pPr>
        <w:pBdr>
          <w:bottom w:val="single" w:sz="4" w:space="1" w:color="CCCCCC"/>
        </w:pBdr>
      </w:pPr>
      <w:r>
        <w:rPr>
          <w:b/>
          <w:color w:val="1A1A1A"/>
          <w:sz w:val="22"/>
        </w:rPr>
        <w:t>CORE COMPETENCIES</w:t>
      </w:r>
    </w:p>
    <w:p>
      <w:r>
        <w:rPr>
          <w:sz w:val="18"/>
        </w:rPr>
        <w:t>Instructional Design &amp; Content Writing  ·  Curriculum Architecture (IB PYP · CEFR A1→B2 · UbD)  ·  AI-Powered Content Development (ChatGPT · Claude · Toddle AI)  ·  Certification &amp; Credential Design (Prove MT · CEFR · Badges · Progression)  ·  Learning Analytics &amp; Behavior Change Measurement  ·  Learning Science &amp; Course Production Standards  ·  Style Guides · Templates · QA Checklists  ·  Enterprise Technology Adoption &amp; Customer Enablement  ·  Cross-Functional Program Management (Product Updates · Customer Needs)  ·  Adult Learning Design &amp; Educator Coaching  ·  Localization &amp; Internationalization (40+ countries)  ·  Multilingual Communication (IT · EN · FR · ES)</w:t>
      </w:r>
    </w:p>
    <w:p>
      <w:pPr>
        <w:pBdr>
          <w:bottom w:val="single" w:sz="4" w:space="1" w:color="CCCCCC"/>
        </w:pBdr>
      </w:pPr>
      <w:r>
        <w:rPr>
          <w:b/>
          <w:color w:val="1A1A1A"/>
          <w:sz w:val="22"/>
        </w:rPr>
        <w:t>PROFESSIONAL EXPERIENCE</w:t>
      </w:r>
    </w:p>
    <w:p>
      <w:r>
        <w:rPr>
          <w:b/>
          <w:sz w:val="20"/>
        </w:rPr>
        <w:t>Italian Language Program Coordinator &amp; K–8 Educator  ·  4-Campus IB International School</w:t>
      </w:r>
    </w:p>
    <w:p>
      <w:r>
        <w:rPr>
          <w:color w:val="666666"/>
          <w:sz w:val="18"/>
        </w:rPr>
        <w:t>San Francisco (×2) · Palo Alto · Milan (2026)  ·  2020 – Present</w:t>
      </w:r>
    </w:p>
    <w:p>
      <w:r>
        <w:rPr>
          <w:i/>
          <w:color w:val="777777"/>
          <w:sz w:val="18"/>
        </w:rPr>
        <w:t>International Baccalaureate PYP/MYP · Reggio Emilia · Italian immersion · K–8 · 200+ students</w:t>
      </w:r>
    </w:p>
    <w:p>
      <w:pPr>
        <w:ind w:left="216"/>
      </w:pPr>
      <w:r>
        <w:rPr>
          <w:b/>
          <w:sz w:val="19"/>
        </w:rPr>
        <w:t xml:space="preserve">Curriculum Built from Zero: </w:t>
      </w:r>
      <w:r>
        <w:rPr>
          <w:sz w:val="19"/>
        </w:rPr>
        <w:t>Conceived and designed Lingua Viva — the school's first proprietary K–5 language curriculum integrating Italian Ministerial Standards, CEFR A1→B1 progression, IB PYP inquiry, and Reggio-inspired multimodality into a single vertically-aligned system. Designed in collaboration with teaching teams across grades through an iterative feedback loop — 50% standardized framework, 50% flexible implementation. Proposed as a scalable model for bilingual IB schools worldwide.</w:t>
      </w:r>
    </w:p>
    <w:p>
      <w:pPr>
        <w:ind w:left="216"/>
      </w:pPr>
      <w:r>
        <w:rPr>
          <w:b/>
          <w:sz w:val="19"/>
        </w:rPr>
        <w:t xml:space="preserve">Measurable Learning Outcomes: </w:t>
      </w:r>
      <w:r>
        <w:rPr>
          <w:sz w:val="19"/>
        </w:rPr>
        <w:t>Tracked student performance on Prove MT — Italy's national standardized assessment, benchmarked against native Italian speaker norms. Results (2024–25): 93% of G3 students improved reading comprehension; 100% of below-average starters improved; median score advanced from 5.0 → 8.0 out of 10; 33% reached perfect 10/10. Every learner progressed. Assessment infrastructure includes CEFR-aligned rubrics, Toddle portfolios, custom Google Sheets dashboards tracking progression vertically across G1–G5, and Kahoot for real-time formative data.</w:t>
      </w:r>
    </w:p>
    <w:p>
      <w:pPr>
        <w:ind w:left="216"/>
      </w:pPr>
      <w:r>
        <w:rPr>
          <w:b/>
          <w:sz w:val="19"/>
        </w:rPr>
        <w:t xml:space="preserve">AI-Powered Curriculum Design (Daily Practice): </w:t>
      </w:r>
      <w:r>
        <w:rPr>
          <w:sz w:val="19"/>
        </w:rPr>
        <w:t>Uses ChatGPT and Claude models daily to accelerate course development and maintenance: generating drafts of lesson outlines and learning objectives using Understanding by Design (UbD), producing test cases and differentiated vocabulary materials calibrated to CEFR levels, creating structured report card narratives from teacher observations, and using AI for QA checks on content alignment across the curriculum. Tracks completion rates and downstream behavior change through learning analytics. AI handles the structural 10% — planning, materials, documentation — freeing capacity for the 90% that is human: responsive teaching, relationship, and real-time classroom judgment.</w:t>
      </w:r>
    </w:p>
    <w:p>
      <w:pPr>
        <w:ind w:left="216"/>
      </w:pPr>
      <w:r>
        <w:rPr>
          <w:b/>
          <w:sz w:val="19"/>
        </w:rPr>
        <w:t xml:space="preserve">Institutional AI Integration Proposal: </w:t>
      </w:r>
      <w:r>
        <w:rPr>
          <w:sz w:val="19"/>
        </w:rPr>
        <w:t>Designed and presented to leadership a two-system AI integration strategy addressing the student continuity problem — the loss of learning knowledge when teachers change year to year. System 1: AI-summarized teacher observation lenses accumulated K–8. System 2: Tiered adaptive learning (universal, targeted, intensive). Built within a 6-layer Structural Coherence Framework integrating IB, Reggio, and immersion into a unified institutional architecture.</w:t>
      </w:r>
    </w:p>
    <w:p>
      <w:pPr>
        <w:ind w:left="216"/>
      </w:pPr>
      <w:r>
        <w:rPr>
          <w:b/>
          <w:sz w:val="19"/>
        </w:rPr>
        <w:t xml:space="preserve">Educator Coaching &amp; Professional Development: </w:t>
      </w:r>
      <w:r>
        <w:rPr>
          <w:sz w:val="19"/>
        </w:rPr>
        <w:t>Designed and facilitated school-wide PD for 50+ faculty across four campuses on immersion pedagogy, cross-departmental accountability, and AI tool adoption. Led what was formally recognized as the most successful new teacher mentoring in the school's history — developing a new hire from zero Italian to independently leading lessons within 12 months. ~80% of families gave unsolicited feedback that their child had their best academic year.</w:t>
      </w:r>
    </w:p>
    <w:p>
      <w:pPr>
        <w:ind w:left="216"/>
      </w:pPr>
      <w:r>
        <w:rPr>
          <w:b/>
          <w:sz w:val="19"/>
        </w:rPr>
        <w:t xml:space="preserve">Multi-Campus Program Operations: </w:t>
      </w:r>
      <w:r>
        <w:rPr>
          <w:sz w:val="19"/>
        </w:rPr>
        <w:t>Designed repeatable execution systems — playbooks, templates, calendars, communication sequences — ensuring consistency and quality across four campuses. Conducted evidence-based program discovery: benchmarking 20+ peer schools, synthesizing community feedback into strategic planning artifacts used by leadership for the upcoming Milan campus launch.</w:t>
      </w:r>
    </w:p>
    <w:p>
      <w:r>
        <w:rPr>
          <w:b/>
          <w:sz w:val="20"/>
        </w:rPr>
        <w:t>Localization Program Manager  ·  Google (via Accenture / Collabera)</w:t>
      </w:r>
    </w:p>
    <w:p>
      <w:r>
        <w:rPr>
          <w:color w:val="666666"/>
          <w:sz w:val="18"/>
        </w:rPr>
        <w:t>Mountain View, CA / San Francisco  ·  2018 – 2020</w:t>
      </w:r>
    </w:p>
    <w:p>
      <w:r>
        <w:rPr>
          <w:i/>
          <w:color w:val="777777"/>
          <w:sz w:val="18"/>
        </w:rPr>
        <w:t>Cross-functional program delivery · global scale · 6-Sigma process improvement</w:t>
      </w:r>
    </w:p>
    <w:p>
      <w:pPr>
        <w:ind w:left="216"/>
      </w:pPr>
      <w:r>
        <w:rPr>
          <w:b/>
          <w:sz w:val="19"/>
        </w:rPr>
        <w:t xml:space="preserve">Global Program Execution at Scale: </w:t>
      </w:r>
      <w:r>
        <w:rPr>
          <w:sz w:val="19"/>
        </w:rPr>
        <w:t>Managed delivery of Google Ads, Search, Assistant, and Safety Center products across 40+ countries — coordinating cross-functional stakeholders across product, engineering, marketing, and linguistic QA teams. Applied 6-Sigma methodology to create process improvement cycles maximizing vendor output and reducing stakeholder time investment.</w:t>
      </w:r>
    </w:p>
    <w:p>
      <w:pPr>
        <w:ind w:left="216"/>
      </w:pPr>
      <w:r>
        <w:rPr>
          <w:b/>
          <w:sz w:val="19"/>
        </w:rPr>
        <w:t xml:space="preserve">Data Infrastructure &amp; Quality Systems: </w:t>
      </w:r>
      <w:r>
        <w:rPr>
          <w:sz w:val="19"/>
        </w:rPr>
        <w:t>Built and maintained tracking dashboards monitoring workflow status, risks, dependencies, and delivery readiness across global stakeholders. Oversaw linguistic quality assurance pre- and post-launch. Operated in a culture of radical accountability with clear KPIs, rapid iteration, and performance expectations — the same data-first methodology now applied to learning outcome measurement.</w:t>
      </w:r>
    </w:p>
    <w:p>
      <w:r>
        <w:rPr>
          <w:b/>
          <w:sz w:val="20"/>
        </w:rPr>
        <w:t>Adjunct Lecturer — French Language &amp; Culture  ·  University of Paris Nanterre</w:t>
      </w:r>
    </w:p>
    <w:p>
      <w:r>
        <w:rPr>
          <w:color w:val="666666"/>
          <w:sz w:val="18"/>
        </w:rPr>
        <w:t>Paris / Remote  ·  2023 – December 2025</w:t>
      </w:r>
    </w:p>
    <w:p>
      <w:r>
        <w:rPr>
          <w:i/>
          <w:color w:val="777777"/>
          <w:sz w:val="18"/>
        </w:rPr>
        <w:t>Concurrent with La Scuola role · Adult learning design at university level</w:t>
      </w:r>
    </w:p>
    <w:p>
      <w:pPr>
        <w:ind w:left="216"/>
      </w:pPr>
      <w:r>
        <w:rPr>
          <w:b/>
          <w:sz w:val="19"/>
        </w:rPr>
        <w:t xml:space="preserve">Adult Learning Program Design: </w:t>
      </w:r>
      <w:r>
        <w:rPr>
          <w:sz w:val="19"/>
        </w:rPr>
        <w:t>Designed university-level curricula with explicit learning objectives, structured feedback cycles, and outcome-based assessment for diverse international student populations — demonstrating learning experience design for adult learners at an international academic standard. 2.5 years concurrent with K–8 teaching.</w:t>
      </w:r>
    </w:p>
    <w:p>
      <w:r>
        <w:rPr>
          <w:b/>
          <w:sz w:val="20"/>
        </w:rPr>
        <w:t>Research Associate &amp; Lecturer  ·  University of Cagliari</w:t>
      </w:r>
    </w:p>
    <w:p>
      <w:r>
        <w:rPr>
          <w:color w:val="666666"/>
          <w:sz w:val="18"/>
        </w:rPr>
        <w:t>Cagliari, Italy  ·  2012 – 2018</w:t>
      </w:r>
    </w:p>
    <w:p>
      <w:r>
        <w:rPr>
          <w:i/>
          <w:color w:val="777777"/>
          <w:sz w:val="18"/>
        </w:rPr>
        <w:t>Concurrent with ENAS project management role · 10+ university courses · 31 publications</w:t>
      </w:r>
    </w:p>
    <w:p>
      <w:pPr>
        <w:ind w:left="216"/>
      </w:pPr>
      <w:r>
        <w:rPr>
          <w:b/>
          <w:sz w:val="19"/>
        </w:rPr>
        <w:t xml:space="preserve">Academic Program Design &amp; Knowledge Production: </w:t>
      </w:r>
      <w:r>
        <w:rPr>
          <w:sz w:val="19"/>
        </w:rPr>
        <w:t>Taught 10+ graduate and undergraduate courses. Co-organized 10+ international academic conferences. Co-directed the Horizons Francophones book series (Éditions L'Harmattan, Paris). Published 1 scholarly monograph (Peter Lang), 10 edited volumes, and 20+ peer-reviewed articles. Concurrently managed a government localization project for water treatment infrastructure in North Africa — demonstrating capacity to operate across multiple complex programs simultaneously.</w:t>
      </w:r>
    </w:p>
    <w:p>
      <w:r>
        <w:rPr>
          <w:b/>
          <w:sz w:val="20"/>
        </w:rPr>
        <w:t>Tourism Coordinator  ·  City of Cagliari</w:t>
      </w:r>
    </w:p>
    <w:p>
      <w:r>
        <w:rPr>
          <w:color w:val="666666"/>
          <w:sz w:val="18"/>
        </w:rPr>
        <w:t>Cagliari, Italy  ·  2011 – 2013</w:t>
      </w:r>
    </w:p>
    <w:p>
      <w:r>
        <w:rPr>
          <w:i/>
          <w:color w:val="777777"/>
          <w:sz w:val="18"/>
        </w:rPr>
        <w:t>12 direct reports · Municipal government · Cruise tourism operations</w:t>
      </w:r>
    </w:p>
    <w:p>
      <w:pPr>
        <w:ind w:left="216"/>
      </w:pPr>
      <w:r>
        <w:rPr>
          <w:b/>
          <w:sz w:val="19"/>
        </w:rPr>
        <w:t xml:space="preserve">People Management &amp; Operational Innovation: </w:t>
      </w:r>
      <w:r>
        <w:rPr>
          <w:sz w:val="19"/>
        </w:rPr>
        <w:t>Managed a team of 12 staff across municipal tourism information points. Raised tourist satisfaction 18% by designing a merchant partnership program — contacting businesses on main streets to extend operating hours for cruise passengers, creating value for both merchants (increased revenue) and visitors (authentic local experiences). A problem nobody had solved before.</w:t>
      </w:r>
    </w:p>
    <w:p>
      <w:pPr>
        <w:pBdr>
          <w:bottom w:val="single" w:sz="4" w:space="1" w:color="CCCCCC"/>
        </w:pBdr>
      </w:pPr>
      <w:r>
        <w:rPr>
          <w:b/>
          <w:color w:val="1A1A1A"/>
          <w:sz w:val="22"/>
        </w:rPr>
        <w:t>PROFESSIONAL LEADERSHIP</w:t>
      </w:r>
    </w:p>
    <w:p>
      <w:r>
        <w:rPr>
          <w:b/>
          <w:sz w:val="19"/>
        </w:rPr>
        <w:t xml:space="preserve">AATI Conference Committee Member &amp; California Chapter Organizer: </w:t>
      </w:r>
      <w:r>
        <w:rPr>
          <w:sz w:val="19"/>
        </w:rPr>
        <w:t>Active organizer for the American Association of Teachers of Italian (AATI), California chapter. Conference committee member and accepted presenter. Professional community leadership bridging academic research and K–12 practice.</w:t>
      </w:r>
    </w:p>
    <w:p>
      <w:pPr>
        <w:pBdr>
          <w:bottom w:val="single" w:sz="4" w:space="1" w:color="CCCCCC"/>
        </w:pBdr>
      </w:pPr>
      <w:r>
        <w:rPr>
          <w:b/>
          <w:color w:val="1A1A1A"/>
          <w:sz w:val="22"/>
        </w:rPr>
        <w:t>SELECTED RECOGNITION &amp; ACCOMPLISHMENTS</w:t>
      </w:r>
    </w:p>
    <w:p>
      <w:pPr>
        <w:ind w:left="216"/>
      </w:pPr>
      <w:r>
        <w:rPr>
          <w:sz w:val="19"/>
        </w:rPr>
        <w:t>•  Presenter, IB Global Conference (2024) — selected for international platform on IB pedagogy</w:t>
      </w:r>
    </w:p>
    <w:p>
      <w:pPr>
        <w:ind w:left="216"/>
      </w:pPr>
      <w:r>
        <w:rPr>
          <w:sz w:val="19"/>
        </w:rPr>
        <w:t>•  Presenter, NCTM Conference (2023) — cross-disciplinary, student-centered learning</w:t>
      </w:r>
    </w:p>
    <w:p>
      <w:pPr>
        <w:ind w:left="216"/>
      </w:pPr>
      <w:r>
        <w:rPr>
          <w:sz w:val="19"/>
        </w:rPr>
        <w:t>•  Presenter, Aberystwyth University (2026) — Francophone LGBTQIA+ spatialities conference</w:t>
      </w:r>
    </w:p>
    <w:p>
      <w:pPr>
        <w:ind w:left="216"/>
      </w:pPr>
      <w:r>
        <w:rPr>
          <w:sz w:val="19"/>
        </w:rPr>
        <w:t>•  Published Scholar: 1 monograph (Peter Lang, 2020); 10 edited volumes; 20+ peer-reviewed articles</w:t>
      </w:r>
    </w:p>
    <w:p>
      <w:pPr>
        <w:ind w:left="216"/>
      </w:pPr>
      <w:r>
        <w:rPr>
          <w:sz w:val="19"/>
        </w:rPr>
        <w:t>•  Co-organizer, 10+ international academic conferences (Paris-Sorbonne, University of Cagliari)</w:t>
      </w:r>
    </w:p>
    <w:p>
      <w:pPr>
        <w:ind w:left="216"/>
      </w:pPr>
      <w:r>
        <w:rPr>
          <w:sz w:val="19"/>
        </w:rPr>
        <w:t>•  5 competitive research fellowships (EU Erasmus, French Regional Council, Italian government)</w:t>
      </w:r>
    </w:p>
    <w:p>
      <w:pPr>
        <w:pBdr>
          <w:bottom w:val="single" w:sz="4" w:space="1" w:color="CCCCCC"/>
        </w:pBdr>
      </w:pPr>
      <w:r>
        <w:rPr>
          <w:b/>
          <w:color w:val="1A1A1A"/>
          <w:sz w:val="22"/>
        </w:rPr>
        <w:t>EDUCATION</w:t>
      </w:r>
    </w:p>
    <w:p>
      <w:r>
        <w:rPr>
          <w:b/>
          <w:sz w:val="19"/>
        </w:rPr>
        <w:t>Ph.D. — Comparative Literature  ·  Paris-Sorbonne University (Paris IV)</w:t>
      </w:r>
      <w:r>
        <w:rPr>
          <w:color w:val="666666"/>
          <w:sz w:val="19"/>
        </w:rPr>
        <w:t xml:space="preserve">    2011</w:t>
      </w:r>
    </w:p>
    <w:p>
      <w:r>
        <w:rPr>
          <w:b/>
          <w:sz w:val="19"/>
        </w:rPr>
        <w:t>MA — Second Language Didactics  ·  University of Paris 8</w:t>
      </w:r>
      <w:r>
        <w:rPr>
          <w:color w:val="666666"/>
          <w:sz w:val="19"/>
        </w:rPr>
        <w:t xml:space="preserve">    2008</w:t>
      </w:r>
    </w:p>
    <w:p>
      <w:r>
        <w:rPr>
          <w:b/>
          <w:sz w:val="19"/>
        </w:rPr>
        <w:t>MA — Francophone Literature  ·  Paris-Sorbonne University (Paris IV)</w:t>
      </w:r>
      <w:r>
        <w:rPr>
          <w:color w:val="666666"/>
          <w:sz w:val="19"/>
        </w:rPr>
        <w:t xml:space="preserve">    2005</w:t>
      </w:r>
    </w:p>
    <w:p>
      <w:r>
        <w:rPr>
          <w:b/>
          <w:sz w:val="19"/>
        </w:rPr>
        <w:t>BA — French &amp; English Languages and Literatures  ·  University of Cagliari</w:t>
      </w:r>
      <w:r>
        <w:rPr>
          <w:color w:val="666666"/>
          <w:sz w:val="19"/>
        </w:rPr>
        <w:t xml:space="preserve">    2003</w:t>
      </w:r>
    </w:p>
    <w:sectPr w:rsidR="00FC693F" w:rsidRPr="0006063C" w:rsidSect="00034616">
      <w:pgSz w:w="12240" w:h="15840"/>
      <w:pgMar w:top="720" w:right="864" w:bottom="720" w:left="86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333333"/>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