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Times New Roman" w:hAnsi="Times New Roman"/>
          <w:b/>
          <w:color w:val="0F1A30"/>
          <w:sz w:val="30"/>
        </w:rPr>
        <w:t>A Physics-Based Monte Carlo Framework for Space Debris Cascade Risk and Insurance Pricing</w:t>
      </w:r>
    </w:p>
    <w:p>
      <w:pPr>
        <w:spacing w:after="240"/>
        <w:jc w:val="center"/>
      </w:pPr>
      <w:r>
        <w:rPr>
          <w:color w:val="C8A84E"/>
          <w:sz w:val="20"/>
        </w:rPr>
        <w:t>────────────────────────────────────────</w:t>
      </w:r>
    </w:p>
    <w:p>
      <w:pPr>
        <w:spacing w:after="60"/>
        <w:jc w:val="center"/>
      </w:pPr>
      <w:r>
        <w:rPr>
          <w:rFonts w:ascii="Times New Roman" w:hAnsi="Times New Roman"/>
          <w:sz w:val="22"/>
        </w:rPr>
        <w:t>Lingxi Lu</w:t>
      </w:r>
    </w:p>
    <w:p>
      <w:pPr>
        <w:spacing w:after="40"/>
        <w:jc w:val="center"/>
      </w:pPr>
      <w:r>
        <w:rPr>
          <w:rFonts w:ascii="Times New Roman" w:hAnsi="Times New Roman"/>
          <w:i/>
          <w:color w:val="555555"/>
          <w:sz w:val="19"/>
        </w:rPr>
        <w:t>Independent Researcher</w:t>
      </w:r>
    </w:p>
    <w:p>
      <w:pPr>
        <w:spacing w:after="400"/>
        <w:jc w:val="center"/>
      </w:pPr>
      <w:r>
        <w:rPr>
          <w:rFonts w:ascii="Times New Roman" w:hAnsi="Times New Roman"/>
          <w:i/>
          <w:color w:val="555555"/>
          <w:sz w:val="19"/>
        </w:rPr>
        <w:t>October 2026  |  Version 2.0  |  Working Paper</w:t>
      </w:r>
    </w:p>
    <w:p>
      <w:pPr>
        <w:spacing w:before="80" w:after="80"/>
      </w:pPr>
      <w:r>
        <w:rPr>
          <w:rFonts w:ascii="Times New Roman" w:hAnsi="Times New Roman"/>
          <w:b/>
          <w:sz w:val="21"/>
        </w:rPr>
        <w:t>Abstract</w:t>
      </w:r>
    </w:p>
    <w:p>
      <w:pPr>
        <w:spacing w:after="120"/>
        <w:jc w:val="both"/>
      </w:pPr>
      <w:r>
        <w:rPr>
          <w:rFonts w:ascii="Times New Roman" w:hAnsi="Times New Roman"/>
          <w:sz w:val="21"/>
        </w:rPr>
        <w:t>The commercial space insurance market was worth about $1.2 billion in 2025 (industry estimates vary). It prices satellite risk using launch and in-orbit failure experience. But no actuarial model accounts for cascade risk, where one collision generates debris that triggers more collisions, producing correlated losses across a portfolio. I build a coupled physics-actuarial framework to address this. For the physics piece, I wrote Monte Carlo code that tracks debris cascades in Low Earth Orbit (LEO). Collision rates come straight from orbital mechanics, not a separately tuned cascade-rate parameter. On the pricing side, I used Value at Risk (VaR), Conditional VaR (CVaR), and Extreme Value Theory (EVT) to convert loss distributions into premiums. I set the simulation at 800 km and ran it for 50 years. Debris went from 36,500 to roughly 1.51 million objects. The premiums I get are 16.5 times higher than a 0.5%-of-hull in-orbit failure benchmark, $2,058 million against $125 million per year for 500 satellites; on expected loss alone the gap is 7.4 times. That comparison is a year-50 comparison: at t = 0 the same model's expected loss is $22.3 million, only 0.18 times the benchmark, so the result measures how a static premium falls behind a growing cascade rather than how mispriced today's market is. The $1,933 million gap is a solvency signal for a concentrated 500-satellite portfolio, and it undermines long-term sustainability of outer space activities. I check the model against three real collision events and break down premiums following the Solvency II framework. I also talk about what this means for the UN Space 2030 Agenda and argue that risk-adjusted pricing could serve as an economic instrument for orbital sustainability.</w:t>
      </w:r>
    </w:p>
    <w:p>
      <w:pPr>
        <w:spacing w:before="120" w:after="240"/>
      </w:pPr>
      <w:r>
        <w:rPr>
          <w:rFonts w:ascii="Times New Roman" w:hAnsi="Times New Roman"/>
          <w:b/>
          <w:i/>
          <w:sz w:val="19"/>
        </w:rPr>
        <w:t xml:space="preserve">Keywords: </w:t>
      </w:r>
      <w:r>
        <w:rPr>
          <w:rFonts w:ascii="Times New Roman" w:hAnsi="Times New Roman"/>
          <w:i/>
          <w:sz w:val="19"/>
        </w:rPr>
        <w:t>space debris, Kessler Syndrome, satellite insurance, Monte Carlo simulation, cascade risk, Solvency II, Extreme Value Theory, orbital sustainability, space traffic management, UN Space 2030 Agenda</w:t>
      </w:r>
    </w:p>
    <w:p>
      <w:pPr>
        <w:spacing w:after="240"/>
      </w:pPr>
      <w:r>
        <w:rPr>
          <w:color w:val="CCCCCC"/>
          <w:sz w:val="12"/>
        </w:rPr>
        <w:t>────────────────────────────────────────────────────────────────────────────────</w:t>
      </w:r>
    </w:p>
    <w:p>
      <w:pPr>
        <w:spacing w:before="360" w:after="160"/>
      </w:pPr>
      <w:r>
        <w:rPr>
          <w:rFonts w:ascii="Times New Roman" w:hAnsi="Times New Roman"/>
          <w:b/>
          <w:color w:val="0F1A30"/>
          <w:sz w:val="24"/>
        </w:rPr>
        <w:t>1. Introduction</w:t>
      </w:r>
    </w:p>
    <w:p>
      <w:pPr>
        <w:spacing w:before="240" w:after="120"/>
      </w:pPr>
      <w:r>
        <w:rPr>
          <w:rFonts w:ascii="Times New Roman" w:hAnsi="Times New Roman"/>
          <w:b/>
          <w:color w:val="0F1A30"/>
          <w:sz w:val="24"/>
        </w:rPr>
        <w:t>1.1 The Unpriced Risk to Orbital Sustainability</w:t>
      </w:r>
    </w:p>
    <w:p>
      <w:pPr>
        <w:spacing w:after="120"/>
        <w:jc w:val="both"/>
      </w:pPr>
      <w:r>
        <w:rPr>
          <w:rFonts w:ascii="Times New Roman" w:hAnsi="Times New Roman"/>
          <w:sz w:val="21"/>
        </w:rPr>
        <w:t>The space debris environment in Low Earth Orbit (LEO) has changed. It is no longer a background condition. It is an active operating cost. Tracking networks currently count over 36,500 objects larger than 10 cm in Earth orbit. On top of that, there are roughly 1 million objects between 1-10 cm and 130 million smaller fragments, according to the ESA Space Environment Report (2025). The World Economic Forum put a price tag on this: $25.8-$42.3 billion in debris-related costs for LEO assets between 2025 and 2035, assuming nothing changes. That kind of trajectory does not square with the long-term sustainability goals in the UN Space 2030 Agenda or the IADC Space Debris Mitigation Guidelines.</w:t>
      </w:r>
    </w:p>
    <w:p>
      <w:pPr>
        <w:spacing w:after="120"/>
        <w:jc w:val="both"/>
      </w:pPr>
      <w:r>
        <w:rPr>
          <w:rFonts w:ascii="Times New Roman" w:hAnsi="Times New Roman"/>
          <w:sz w:val="21"/>
        </w:rPr>
        <w:t>And yet the $1.2 billion space insurance market still prices risk the old way, using historical loss data. Mostly launch and in-orbit failure experience plus single-asset collision probabilities. Nobody is modeling the chance that one debris event sets off a cascade, generating correlated claims across a whole portfolio at once. That gap creates a moral hazard. Operators flying in congested shells pay premiums that have nothing to do with the systemic risk they impose on everyone else in orbit.</w:t>
      </w:r>
    </w:p>
    <w:p>
      <w:pPr>
        <w:spacing w:before="240" w:after="120"/>
      </w:pPr>
      <w:r>
        <w:rPr>
          <w:rFonts w:ascii="Times New Roman" w:hAnsi="Times New Roman"/>
          <w:b/>
          <w:color w:val="0F1A30"/>
          <w:sz w:val="24"/>
        </w:rPr>
        <w:t>1.2 Prior Work and Gap</w:t>
      </w:r>
    </w:p>
    <w:p>
      <w:pPr>
        <w:spacing w:after="120"/>
        <w:jc w:val="both"/>
      </w:pPr>
      <w:r>
        <w:rPr>
          <w:rFonts w:ascii="Times New Roman" w:hAnsi="Times New Roman"/>
          <w:sz w:val="21"/>
        </w:rPr>
        <w:t>Freeman et al. (2021) came closest. They built an actuarial modifier for On-Orbit Servicing (OOS) satellite insurance, folding debris mitigation into premiums, but only for direct collision risk. Cascade dynamics, the chain-reaction scenario Kessler (1978) laid out, were not part of their model. Liou and Johnson (2008) ran numerical simulations that showed LEO satellite populations are unstable. They did not take the step of linking those results to insurance pricing. To my knowledge, nobody has coupled first-principles collision physics with actuarial risk metrics to produce regulatory-compliant insurance premiums.</w:t>
      </w:r>
    </w:p>
    <w:p>
      <w:pPr>
        <w:spacing w:before="240" w:after="120"/>
      </w:pPr>
      <w:r>
        <w:rPr>
          <w:rFonts w:ascii="Times New Roman" w:hAnsi="Times New Roman"/>
          <w:b/>
          <w:color w:val="0F1A30"/>
          <w:sz w:val="24"/>
        </w:rPr>
        <w:t>1.3 Contribution</w:t>
      </w:r>
    </w:p>
    <w:p>
      <w:pPr>
        <w:spacing w:after="120"/>
        <w:jc w:val="both"/>
      </w:pPr>
      <w:r>
        <w:rPr>
          <w:rFonts w:ascii="Times New Roman" w:hAnsi="Times New Roman"/>
          <w:sz w:val="21"/>
        </w:rPr>
        <w:t>My framework does seven things. It couples collision physics with actuarial science so debris growth is driven by actual collision rates, with no separately tuned cascade-rate parameter. Collision events are drawn from a Poisson distribution, with event-anchored log-normal fragment yields; the NASA Standard Breakup Model serves only as an order-of-magnitude anchor. DS and DD collision yields are kept separate, which delays but does not remove the finite-time singularity; the baseline mean-field singularity is at t* = 61 years. Portfolio-level correlated risk is handled by a separate Gaussian-copula module for variance and tail analysis; expected loss itself is correlation-invariant. Extreme Value Theory is used as a diagnostic cross-check on the empirical tail, with a peaks-over-threshold exceedance ratio. The yield scale is checked against three documented collision events, not formally calibrated to them. I also discuss the framework's relevance to international space governance and propose risk-adjusted pricing as an economic instrument for orbital sustainability.</w:t>
      </w:r>
    </w:p>
    <w:p>
      <w:pPr>
        <w:spacing w:before="360" w:after="160"/>
      </w:pPr>
      <w:r>
        <w:rPr>
          <w:rFonts w:ascii="Times New Roman" w:hAnsi="Times New Roman"/>
          <w:b/>
          <w:color w:val="0F1A30"/>
          <w:sz w:val="24"/>
        </w:rPr>
        <w:t>2. Methodology</w:t>
      </w:r>
    </w:p>
    <w:p>
      <w:pPr>
        <w:spacing w:before="240" w:after="120"/>
      </w:pPr>
      <w:r>
        <w:rPr>
          <w:rFonts w:ascii="Times New Roman" w:hAnsi="Times New Roman"/>
          <w:b/>
          <w:color w:val="0F1A30"/>
          <w:sz w:val="24"/>
        </w:rPr>
        <w:t>2.1 Physical Layer: Collision-Driven Debris Dynamics</w:t>
      </w:r>
    </w:p>
    <w:p>
      <w:pPr>
        <w:spacing w:after="120"/>
        <w:jc w:val="both"/>
      </w:pPr>
      <w:r>
        <w:rPr>
          <w:rFonts w:ascii="Times New Roman" w:hAnsi="Times New Roman"/>
          <w:sz w:val="21"/>
        </w:rPr>
        <w:t>I model a representative LEO shell at altitude h = 800 km with thickness dh = 200 km (700-900 km). The shell volume works out to V = 1.29 x 10^11 km^3. I picked this altitude because it has the most defunct satellites and is where most mega-constellations operate. Drag at 800 km is weak enough that debris can stick around for decades, sometimes centuries.</w:t>
      </w:r>
    </w:p>
    <w:p>
      <w:pPr>
        <w:spacing w:before="160" w:after="80"/>
      </w:pPr>
      <w:r>
        <w:rPr>
          <w:rFonts w:ascii="Times New Roman" w:hAnsi="Times New Roman"/>
          <w:b/>
          <w:color w:val="0F1A30"/>
          <w:sz w:val="24"/>
        </w:rPr>
        <w:t>2.1.1 Collision Rate</w:t>
      </w:r>
    </w:p>
    <w:p>
      <w:pPr>
        <w:spacing w:after="120"/>
        <w:jc w:val="both"/>
      </w:pPr>
      <w:r>
        <w:rPr>
          <w:rFonts w:ascii="Times New Roman" w:hAnsi="Times New Roman"/>
          <w:sz w:val="21"/>
        </w:rPr>
        <w:t>For collision rates between debris and satellites, I use the Kessler-Flournoy formula:</w:t>
      </w:r>
    </w:p>
    <w:p>
      <w:pPr>
        <w:spacing w:before="160" w:after="160"/>
        <w:jc w:val="center"/>
      </w:pPr>
      <m:oMathPara>
        <m:oMath>
          <m:sSub>
            <m:e>
              <m:r>
                <w:rPr>
                  <w:rFonts w:ascii="Cambria Math" w:hAnsi="Cambria Math"/>
                </w:rPr>
                <m:t xml:space="preserve">R</m:t>
              </m:r>
            </m:e>
            <m:sub>
              <m:r>
                <w:rPr>
                  <w:rFonts w:ascii="Cambria Math" w:hAnsi="Cambria Math"/>
                </w:rPr>
                <m:t xml:space="preserve">ds</m:t>
              </m:r>
            </m:sub>
          </m:sSub>
          <m:r>
            <w:rPr>
              <w:rFonts w:ascii="Cambria Math" w:hAnsi="Cambria Math"/>
              <m:sty m:val="p"/>
            </w:rPr>
            <m:t xml:space="preserve">=</m:t>
          </m:r>
          <m:sSub>
            <m:e>
              <m:r>
                <w:rPr>
                  <w:rFonts w:ascii="Cambria Math" w:hAnsi="Cambria Math"/>
                </w:rPr>
                <m:t xml:space="preserve">N</m:t>
              </m:r>
            </m:e>
            <m:sub>
              <m:r>
                <w:rPr>
                  <w:rFonts w:ascii="Cambria Math" w:hAnsi="Cambria Math"/>
                </w:rPr>
                <m:t xml:space="preserve">d</m:t>
              </m:r>
            </m:sub>
          </m:sSub>
          <m:r>
            <w:rPr>
              <w:rFonts w:ascii="Cambria Math" w:hAnsi="Cambria Math"/>
              <m:sty m:val="p"/>
            </w:rPr>
            <m:t xml:space="preserve">⋅</m:t>
          </m:r>
          <m:sSub>
            <m:e>
              <m:r>
                <w:rPr>
                  <w:rFonts w:ascii="Cambria Math" w:hAnsi="Cambria Math"/>
                </w:rPr>
                <m:t xml:space="preserve">N</m:t>
              </m:r>
            </m:e>
            <m:sub>
              <m:r>
                <w:rPr>
                  <w:rFonts w:ascii="Cambria Math" w:hAnsi="Cambria Math"/>
                </w:rPr>
                <m:t xml:space="preserve">s</m:t>
              </m:r>
            </m:sub>
          </m:sSub>
          <m:r>
            <w:rPr>
              <w:rFonts w:ascii="Cambria Math" w:hAnsi="Cambria Math"/>
              <m:sty m:val="p"/>
            </w:rPr>
            <m:t xml:space="preserve">⋅</m:t>
          </m:r>
          <m:r>
            <w:rPr>
              <w:rFonts w:ascii="Cambria Math" w:hAnsi="Cambria Math"/>
            </w:rPr>
            <m:t xml:space="preserve">σ</m:t>
          </m:r>
          <m:r>
            <w:rPr>
              <w:rFonts w:ascii="Cambria Math" w:hAnsi="Cambria Math"/>
              <m:sty m:val="p"/>
            </w:rPr>
            <m:t xml:space="preserve">⋅</m:t>
          </m:r>
          <m:sSub>
            <m:e>
              <m:r>
                <w:rPr>
                  <w:rFonts w:ascii="Cambria Math" w:hAnsi="Cambria Math"/>
                </w:rPr>
                <m:t xml:space="preserve">v</m:t>
              </m:r>
            </m:e>
            <m:sub>
              <m:r>
                <w:rPr>
                  <w:rFonts w:ascii="Cambria Math" w:hAnsi="Cambria Math"/>
                </w:rPr>
                <m:t xml:space="preserve">rel</m:t>
              </m:r>
            </m:sub>
          </m:sSub>
          <m:r>
            <w:rPr>
              <w:rFonts w:ascii="Cambria Math" w:hAnsi="Cambria Math"/>
              <m:sty m:val="p"/>
            </w:rPr>
            <m:t xml:space="preserve">⋅</m:t>
          </m:r>
          <m:r>
            <w:rPr>
              <w:rFonts w:ascii="Cambria Math" w:hAnsi="Cambria Math"/>
            </w:rPr>
            <m:t xml:space="preserve">T</m:t>
          </m:r>
          <m:r>
            <w:rPr>
              <w:rFonts w:ascii="Cambria Math" w:hAnsi="Cambria Math"/>
              <m:sty m:val="p"/>
            </w:rPr>
            <m:t xml:space="preserve">/</m:t>
          </m:r>
          <m:r>
            <w:rPr>
              <w:rFonts w:ascii="Cambria Math" w:hAnsi="Cambria Math"/>
            </w:rPr>
            <m:t xml:space="preserve">V</m:t>
          </m:r>
          <m:r>
            <w:rPr>
              <w:rFonts w:ascii="Cambria Math" w:hAnsi="Cambria Math"/>
              <m:sty m:val="p"/>
            </w:rPr>
            <m:t xml:space="preserve"> </m:t>
          </m:r>
          <m:r>
            <w:rPr>
              <w:rFonts w:ascii="Cambria Math" w:hAnsi="Cambria Math"/>
              <m:sty m:val="p"/>
            </w:rPr>
            <m:t xml:space="preserve"> </m:t>
          </m:r>
          <m:r>
            <w:rPr>
              <w:rFonts w:ascii="Cambria Math" w:hAnsi="Cambria Math"/>
              <m:sty m:val="p"/>
            </w:rPr>
            <m:t xml:space="preserve">(1)</m:t>
          </m:r>
        </m:oMath>
      </m:oMathPara>
    </w:p>
    <w:p>
      <w:pPr>
        <w:spacing w:after="120"/>
        <w:jc w:val="both"/>
      </w:pPr>
      <w:r>
        <w:rPr>
          <w:rFonts w:ascii="Times New Roman" w:hAnsi="Times New Roman"/>
          <w:sz w:val="21"/>
        </w:rPr>
        <w:t>Debris-debris collisions drive the cascade. The rate R_dd is proportional to N_d(N_d-1), which means it scales with N_d^2. Double the debris, you quadruple the collision rate. This quadratic feedback is the mathematical root of the cascade. At current population levels (N_d = 36,500, N_s = 8,000), I compute about 7 debris-satellite and 16 debris-debris collisions per year.</w:t>
      </w:r>
    </w:p>
    <w:p>
      <w:pPr>
        <w:spacing w:before="160" w:after="80"/>
      </w:pPr>
      <w:r>
        <w:rPr>
          <w:rFonts w:ascii="Times New Roman" w:hAnsi="Times New Roman"/>
          <w:b/>
          <w:color w:val="0F1A30"/>
          <w:sz w:val="24"/>
        </w:rPr>
        <w:t>2.1.2 Fragment Generation</w:t>
      </w:r>
    </w:p>
    <w:p>
      <w:pPr>
        <w:spacing w:after="120"/>
        <w:jc w:val="both"/>
      </w:pPr>
      <w:r>
        <w:rPr>
          <w:rFonts w:ascii="Times New Roman" w:hAnsi="Times New Roman"/>
          <w:sz w:val="21"/>
        </w:rPr>
        <w:t>The asymmetric fragment yield between collision types is an event-anchored prior; the NASA Standard Breakup Model is used only as an order-of-magnitude anchor:</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351"/>
            <w:shd w:fill="1A2744" w:val="clear"/>
          </w:tcPr>
          <w:p>
            <w:pPr>
              <w:jc w:val="center"/>
            </w:pPr>
            <w:r>
              <w:rPr>
                <w:rFonts w:ascii="Times New Roman" w:hAnsi="Times New Roman"/>
                <w:b/>
                <w:color w:val="FFFFFF"/>
                <w:sz w:val="19"/>
              </w:rPr>
              <w:t>Collision Type</w:t>
            </w:r>
          </w:p>
        </w:tc>
        <w:tc>
          <w:tcPr>
            <w:tcW w:type="dxa" w:w="2351"/>
            <w:shd w:fill="1A2744" w:val="clear"/>
          </w:tcPr>
          <w:p>
            <w:pPr>
              <w:jc w:val="center"/>
            </w:pPr>
            <w:r>
              <w:rPr>
                <w:rFonts w:ascii="Times New Roman" w:hAnsi="Times New Roman"/>
                <w:b/>
                <w:color w:val="FFFFFF"/>
                <w:sz w:val="19"/>
              </w:rPr>
              <w:t>Distribution</w:t>
            </w:r>
          </w:p>
        </w:tc>
        <w:tc>
          <w:tcPr>
            <w:tcW w:type="dxa" w:w="2351"/>
            <w:shd w:fill="1A2744" w:val="clear"/>
          </w:tcPr>
          <w:p>
            <w:pPr>
              <w:jc w:val="center"/>
            </w:pPr>
            <w:r>
              <w:rPr>
                <w:rFonts w:ascii="Times New Roman" w:hAnsi="Times New Roman"/>
                <w:b/>
                <w:color w:val="FFFFFF"/>
                <w:sz w:val="19"/>
              </w:rPr>
              <w:t>Median</w:t>
            </w:r>
          </w:p>
        </w:tc>
        <w:tc>
          <w:tcPr>
            <w:tcW w:type="dxa" w:w="2351"/>
            <w:shd w:fill="1A2744" w:val="clear"/>
          </w:tcPr>
          <w:p>
            <w:pPr>
              <w:jc w:val="center"/>
            </w:pPr>
            <w:r>
              <w:rPr>
                <w:rFonts w:ascii="Times New Roman" w:hAnsi="Times New Roman"/>
                <w:b/>
                <w:color w:val="FFFFFF"/>
                <w:sz w:val="19"/>
              </w:rPr>
              <w:t>Physical Rationale</w:t>
            </w:r>
          </w:p>
        </w:tc>
      </w:tr>
      <w:tr>
        <w:tc>
          <w:tcPr>
            <w:tcW w:type="dxa" w:w="2351"/>
          </w:tcPr>
          <w:p>
            <w:r>
              <w:rPr>
                <w:rFonts w:ascii="Times New Roman" w:hAnsi="Times New Roman"/>
                <w:sz w:val="19"/>
              </w:rPr>
              <w:t>Debris-Satellite (DS)</w:t>
            </w:r>
          </w:p>
        </w:tc>
        <w:tc>
          <w:tcPr>
            <w:tcW w:type="dxa" w:w="2351"/>
          </w:tcPr>
          <w:p>
            <w:r>
              <w:rPr>
                <w:rFonts w:ascii="Times New Roman" w:hAnsi="Times New Roman"/>
                <w:sz w:val="19"/>
              </w:rPr>
              <w:t>LogNormal(5.5, 0.8)</w:t>
            </w:r>
          </w:p>
        </w:tc>
        <w:tc>
          <w:tcPr>
            <w:tcW w:type="dxa" w:w="2351"/>
          </w:tcPr>
          <w:p>
            <w:r>
              <w:rPr>
                <w:rFonts w:ascii="Times New Roman" w:hAnsi="Times New Roman"/>
                <w:sz w:val="19"/>
              </w:rPr>
              <w:t>~245</w:t>
            </w:r>
          </w:p>
        </w:tc>
        <w:tc>
          <w:tcPr>
            <w:tcW w:type="dxa" w:w="2351"/>
          </w:tcPr>
          <w:p>
            <w:r>
              <w:rPr>
                <w:rFonts w:ascii="Times New Roman" w:hAnsi="Times New Roman"/>
                <w:sz w:val="19"/>
              </w:rPr>
              <w:t>Large satellite breakup</w:t>
            </w:r>
          </w:p>
        </w:tc>
      </w:tr>
      <w:tr>
        <w:tc>
          <w:tcPr>
            <w:tcW w:type="dxa" w:w="2351"/>
            <w:shd w:fill="F8F9FA" w:val="clear"/>
          </w:tcPr>
          <w:p>
            <w:r>
              <w:rPr>
                <w:rFonts w:ascii="Times New Roman" w:hAnsi="Times New Roman"/>
                <w:sz w:val="19"/>
              </w:rPr>
              <w:t>Debris-Debris (DD)</w:t>
            </w:r>
          </w:p>
        </w:tc>
        <w:tc>
          <w:tcPr>
            <w:tcW w:type="dxa" w:w="2351"/>
            <w:shd w:fill="F8F9FA" w:val="clear"/>
          </w:tcPr>
          <w:p>
            <w:r>
              <w:rPr>
                <w:rFonts w:ascii="Times New Roman" w:hAnsi="Times New Roman"/>
                <w:sz w:val="19"/>
              </w:rPr>
              <w:t>LogNormal(1.1, 0.5)</w:t>
            </w:r>
          </w:p>
        </w:tc>
        <w:tc>
          <w:tcPr>
            <w:tcW w:type="dxa" w:w="2351"/>
            <w:shd w:fill="F8F9FA" w:val="clear"/>
          </w:tcPr>
          <w:p>
            <w:r>
              <w:rPr>
                <w:rFonts w:ascii="Times New Roman" w:hAnsi="Times New Roman"/>
                <w:sz w:val="19"/>
              </w:rPr>
              <w:t>~3</w:t>
            </w:r>
          </w:p>
        </w:tc>
        <w:tc>
          <w:tcPr>
            <w:tcW w:type="dxa" w:w="2351"/>
            <w:shd w:fill="F8F9FA" w:val="clear"/>
          </w:tcPr>
          <w:p>
            <w:r>
              <w:rPr>
                <w:rFonts w:ascii="Times New Roman" w:hAnsi="Times New Roman"/>
                <w:sz w:val="19"/>
              </w:rPr>
              <w:t>Small fragment impact</w:t>
            </w:r>
          </w:p>
        </w:tc>
      </w:tr>
    </w:tbl>
    <w:p>
      <w:pPr>
        <w:spacing w:after="80"/>
      </w:pPr>
      <w:r>
        <w:rPr>
          <w:rFonts w:ascii="Times New Roman" w:hAnsi="Times New Roman"/>
          <w:i/>
          <w:color w:val="555555"/>
          <w:sz w:val="18"/>
        </w:rPr>
        <w:t>Without this distinction, the N^2 scaling of DD rates combined with high yields (~245) would produce a much earlier finite-time singularity. With the asymmetry, the baseline mean-field backbone diverges at t* = 61 years, only 11 years beyond the 50-year horizon. The asymmetry reflects the energy differential: a fragment striking an intact satellite releases orders of magnitude more energy than two small fragments colliding.</w:t>
      </w:r>
    </w:p>
    <w:p>
      <w:pPr>
        <w:spacing w:before="160" w:after="80"/>
      </w:pPr>
      <w:r>
        <w:rPr>
          <w:rFonts w:ascii="Times New Roman" w:hAnsi="Times New Roman"/>
          <w:b/>
          <w:color w:val="0F1A30"/>
          <w:sz w:val="24"/>
        </w:rPr>
        <w:t>2.1.3 Stochastic Time-Stepping</w:t>
      </w:r>
    </w:p>
    <w:p>
      <w:pPr>
        <w:spacing w:after="120"/>
        <w:jc w:val="both"/>
      </w:pPr>
      <w:r>
        <w:rPr>
          <w:rFonts w:ascii="Times New Roman" w:hAnsi="Times New Roman"/>
          <w:sz w:val="21"/>
        </w:rPr>
        <w:t>I model collisions as a Poisson process. I broke time into 0.1-year steps, about 36.5 days each. Within each step, I draw DS and DD collision counts, generate fragments from log-normal distributions, apply orbital decay (lambda = 0.005/year with multiplicative Gaussian noise, standard deviation 10%, clipped below at 0.1), and update the population. There is no separately tuned cascade-rate parameter; the collision terms are fixed by orbital mechanics. That is not the same as \"no free parameters\": initial debris count, yield parameters, the 0.5% benchmark, satellite value and portfolio size are modelling choices. Each Monte Carlo path uses a distinct random seed for reproducibility.</w:t>
      </w:r>
    </w:p>
    <w:p>
      <w:pPr>
        <w:spacing w:before="240" w:after="120"/>
      </w:pPr>
      <w:r>
        <w:rPr>
          <w:rFonts w:ascii="Times New Roman" w:hAnsi="Times New Roman"/>
          <w:b/>
          <w:color w:val="0F1A30"/>
          <w:sz w:val="24"/>
        </w:rPr>
        <w:t>2.2 Economic Layer: From Debris to Insurance Premiums</w:t>
      </w:r>
    </w:p>
    <w:p>
      <w:pPr>
        <w:spacing w:after="120"/>
        <w:jc w:val="both"/>
      </w:pPr>
      <w:r>
        <w:rPr>
          <w:rFonts w:ascii="Times New Roman" w:hAnsi="Times New Roman"/>
          <w:sz w:val="21"/>
        </w:rPr>
        <w:t>Getting from debris population to financial loss takes four steps. First, I compute per-satellite annual hit probability p_hit = N_d * sigma * v * T / V. Second, I calculate per-policy expected loss = p_hit * V_sat ($50M average). Third, I aggregate across 500 insured satellites; expected loss is correlation-invariant. A separate Gaussian-copula module (rho = 0.3) is used for variance and tail analysis but does not enter the headline premium. Fourth, I pull out VaR, CVaR, and EVT risk metrics from 1,000 Monte Carlo paths.</w:t>
      </w:r>
    </w:p>
    <w:p>
      <w:pPr>
        <w:spacing w:before="160" w:after="80"/>
      </w:pPr>
      <w:r>
        <w:rPr>
          <w:rFonts w:ascii="Times New Roman" w:hAnsi="Times New Roman"/>
          <w:b/>
          <w:color w:val="0F1A30"/>
          <w:sz w:val="24"/>
        </w:rPr>
        <w:t>2.2.1 Solvency-II-style Premium Decomposition</w:t>
      </w:r>
    </w:p>
    <w:p>
      <w:pPr>
        <w:spacing w:before="160" w:after="160"/>
        <w:jc w:val="center"/>
      </w:pPr>
      <m:oMathPara>
        <m:oMath>
          <m:r>
            <w:rPr>
              <w:rFonts w:ascii="Cambria Math" w:hAnsi="Cambria Math"/>
            </w:rPr>
            <m:t xml:space="preserve">P</m:t>
          </m:r>
          <m:r>
            <w:rPr>
              <w:rFonts w:ascii="Cambria Math" w:hAnsi="Cambria Math"/>
              <m:sty m:val="p"/>
            </w:rPr>
            <m:t xml:space="preserve">=</m:t>
          </m:r>
          <m:r>
            <w:rPr>
              <w:rFonts w:ascii="Cambria Math" w:hAnsi="Cambria Math"/>
              <m:sty m:val="p"/>
            </w:rPr>
            <m:t xml:space="preserve">E</m:t>
          </m:r>
          <m:r>
            <w:rPr>
              <w:rFonts w:ascii="Cambria Math" w:hAnsi="Cambria Math"/>
            </w:rPr>
            <m:t xml:space="preserve">[L]</m:t>
          </m:r>
          <m:r>
            <w:rPr>
              <w:rFonts w:ascii="Cambria Math" w:hAnsi="Cambria Math"/>
              <m:sty m:val="p"/>
            </w:rPr>
            <m:t xml:space="preserve">+</m:t>
          </m:r>
          <m:sSub>
            <m:e>
              <m:r>
                <w:rPr>
                  <w:rFonts w:ascii="Cambria Math" w:hAnsi="Cambria Math"/>
                </w:rPr>
                <m:t xml:space="preserve">λ</m:t>
              </m:r>
            </m:e>
            <m:sub>
              <m:r>
                <w:rPr>
                  <w:rFonts w:ascii="Cambria Math" w:hAnsi="Cambria Math"/>
                </w:rPr>
                <m:t xml:space="preserve">R</m:t>
              </m:r>
            </m:sub>
          </m:sSub>
          <m:r>
            <w:rPr>
              <w:rFonts w:ascii="Cambria Math" w:hAnsi="Cambria Math"/>
              <m:sty m:val="p"/>
            </w:rPr>
            <m:t xml:space="preserve">⋅</m:t>
          </m:r>
          <m:r>
            <w:rPr>
              <w:rFonts w:ascii="Cambria Math" w:hAnsi="Cambria Math"/>
            </w:rPr>
            <m:t xml:space="preserve">(</m:t>
          </m:r>
          <m:sSub>
            <m:e>
              <m:r>
                <w:rPr>
                  <w:rFonts w:ascii="Cambria Math" w:hAnsi="Cambria Math"/>
                  <m:sty m:val="p"/>
                </w:rPr>
                <m:t xml:space="preserve">CVaR</m:t>
              </m:r>
            </m:e>
            <m:sub>
              <m:r>
                <w:rPr>
                  <w:rFonts w:ascii="Cambria Math" w:hAnsi="Cambria Math"/>
                </w:rPr>
                <m:t xml:space="preserve">95</m:t>
              </m:r>
            </m:sub>
          </m:sSub>
          <m:r>
            <w:rPr>
              <w:rFonts w:ascii="Cambria Math" w:hAnsi="Cambria Math"/>
              <m:sty m:val="p"/>
            </w:rPr>
            <m:t xml:space="preserve">−</m:t>
          </m:r>
          <m:r>
            <w:rPr>
              <w:rFonts w:ascii="Cambria Math" w:hAnsi="Cambria Math"/>
              <m:sty m:val="p"/>
            </w:rPr>
            <m:t xml:space="preserve">E</m:t>
          </m:r>
          <m:r>
            <w:rPr>
              <w:rFonts w:ascii="Cambria Math" w:hAnsi="Cambria Math"/>
            </w:rPr>
            <m:t xml:space="preserve">[L]</m:t>
          </m:r>
          <m:r>
            <w:rPr>
              <w:rFonts w:ascii="Cambria Math" w:hAnsi="Cambria Math"/>
            </w:rPr>
            <m:t xml:space="preserve">)</m:t>
          </m:r>
          <m:r>
            <w:rPr>
              <w:rFonts w:ascii="Cambria Math" w:hAnsi="Cambria Math"/>
              <m:sty m:val="p"/>
            </w:rPr>
            <m:t xml:space="preserve">+</m:t>
          </m:r>
          <m:r>
            <w:rPr>
              <w:rFonts w:ascii="Cambria Math" w:hAnsi="Cambria Math"/>
            </w:rPr>
            <m:t xml:space="preserve">r</m:t>
          </m:r>
          <m:r>
            <w:rPr>
              <w:rFonts w:ascii="Cambria Math" w:hAnsi="Cambria Math"/>
              <m:sty m:val="p"/>
            </w:rPr>
            <m:t xml:space="preserve">⋅</m:t>
          </m:r>
          <m:r>
            <w:rPr>
              <w:rFonts w:ascii="Cambria Math" w:hAnsi="Cambria Math"/>
            </w:rPr>
            <m:t xml:space="preserve">(</m:t>
          </m:r>
          <m:sSub>
            <m:e>
              <m:r>
                <w:rPr>
                  <w:rFonts w:ascii="Cambria Math" w:hAnsi="Cambria Math"/>
                  <m:sty m:val="p"/>
                </w:rPr>
                <m:t xml:space="preserve">VaR</m:t>
              </m:r>
            </m:e>
            <m:sub>
              <m:r>
                <w:rPr>
                  <w:rFonts w:ascii="Cambria Math" w:hAnsi="Cambria Math"/>
                </w:rPr>
                <m:t xml:space="preserve">99</m:t>
              </m:r>
            </m:sub>
          </m:sSub>
          <m:r>
            <w:rPr>
              <w:rFonts w:ascii="Cambria Math" w:hAnsi="Cambria Math"/>
              <m:sty m:val="p"/>
            </w:rPr>
            <m:t xml:space="preserve">−</m:t>
          </m:r>
          <m:r>
            <w:rPr>
              <w:rFonts w:ascii="Cambria Math" w:hAnsi="Cambria Math"/>
              <m:sty m:val="p"/>
            </w:rPr>
            <m:t xml:space="preserve">E</m:t>
          </m:r>
          <m:r>
            <w:rPr>
              <w:rFonts w:ascii="Cambria Math" w:hAnsi="Cambria Math"/>
            </w:rPr>
            <m:t xml:space="preserve">[L]</m:t>
          </m:r>
          <m:r>
            <w:rPr>
              <w:rFonts w:ascii="Cambria Math" w:hAnsi="Cambria Math"/>
            </w:rPr>
            <m:t xml:space="preserve">)</m:t>
          </m:r>
          <m:r>
            <w:rPr>
              <w:rFonts w:ascii="Cambria Math" w:hAnsi="Cambria Math"/>
              <m:sty m:val="p"/>
            </w:rPr>
            <m:t xml:space="preserve">+</m:t>
          </m:r>
          <m:sSub>
            <m:e>
              <m:r>
                <w:rPr>
                  <w:rFonts w:ascii="Cambria Math" w:hAnsi="Cambria Math"/>
                </w:rPr>
                <m:t xml:space="preserve">λ</m:t>
              </m:r>
            </m:e>
            <m:sub>
              <m:r>
                <w:rPr>
                  <w:rFonts w:ascii="Cambria Math" w:hAnsi="Cambria Math"/>
                </w:rPr>
                <m:t xml:space="preserve">E</m:t>
              </m:r>
            </m:sub>
          </m:sSub>
          <m:r>
            <w:rPr>
              <w:rFonts w:ascii="Cambria Math" w:hAnsi="Cambria Math"/>
              <m:sty m:val="p"/>
            </w:rPr>
            <m:t xml:space="preserve">⋅</m:t>
          </m:r>
          <m:r>
            <w:rPr>
              <w:rFonts w:ascii="Cambria Math" w:hAnsi="Cambria Math"/>
              <m:sty m:val="p"/>
            </w:rPr>
            <m:t xml:space="preserve">E</m:t>
          </m:r>
          <m:r>
            <w:rPr>
              <w:rFonts w:ascii="Cambria Math" w:hAnsi="Cambria Math"/>
            </w:rPr>
            <m:t xml:space="preserve">[L]</m:t>
          </m:r>
          <m:r>
            <w:rPr>
              <w:rFonts w:ascii="Cambria Math" w:hAnsi="Cambria Math"/>
              <m:sty m:val="p"/>
            </w:rPr>
            <m:t xml:space="preserve"> </m:t>
          </m:r>
          <m:r>
            <w:rPr>
              <w:rFonts w:ascii="Cambria Math" w:hAnsi="Cambria Math"/>
              <m:sty m:val="p"/>
            </w:rPr>
            <m:t xml:space="preserve">(2)</m:t>
          </m:r>
        </m:oMath>
      </m:oMathPara>
    </w:p>
    <w:p>
      <w:pPr>
        <w:spacing w:after="120"/>
        <w:jc w:val="both"/>
      </w:pPr>
      <w:r>
        <w:rPr>
          <w:rFonts w:ascii="Times New Roman" w:hAnsi="Times New Roman"/>
          <w:sz w:val="21"/>
        </w:rPr>
        <w:t>where lambda_R = 1.5 (risk loading multiplier), r = 0.04 (discount rate), lambda_E = 0.15 (expense loading). This is a Solvency-II-style decomposition, not the calculation prescribed by Directive 2009/138/EC: the Directive applies a 6% cost of capital to the SCR, whereas the risk loading here is a multiple of the CVaR excess and the capital charge uses a 4% cost of capital. The three loadings are pricing assumptions, not regulatory parameters.</w:t>
      </w:r>
    </w:p>
    <w:p>
      <w:pPr>
        <w:spacing w:before="240" w:after="120"/>
      </w:pPr>
      <w:r>
        <w:rPr>
          <w:rFonts w:ascii="Times New Roman" w:hAnsi="Times New Roman"/>
          <w:b/>
          <w:color w:val="0F1A30"/>
          <w:sz w:val="24"/>
        </w:rPr>
        <w:t>2.3 Consistency Check Against Observed Events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351"/>
            <w:shd w:fill="1A2744" w:val="clear"/>
          </w:tcPr>
          <w:p>
            <w:pPr>
              <w:jc w:val="center"/>
            </w:pPr>
            <w:r>
              <w:rPr>
                <w:rFonts w:ascii="Times New Roman" w:hAnsi="Times New Roman"/>
                <w:b/>
                <w:color w:val="FFFFFF"/>
                <w:sz w:val="19"/>
              </w:rPr>
              <w:t>Event</w:t>
            </w:r>
          </w:p>
        </w:tc>
        <w:tc>
          <w:tcPr>
            <w:tcW w:type="dxa" w:w="2351"/>
            <w:shd w:fill="1A2744" w:val="clear"/>
          </w:tcPr>
          <w:p>
            <w:pPr>
              <w:jc w:val="center"/>
            </w:pPr>
            <w:r>
              <w:rPr>
                <w:rFonts w:ascii="Times New Roman" w:hAnsi="Times New Roman"/>
                <w:b/>
                <w:color w:val="FFFFFF"/>
                <w:sz w:val="19"/>
              </w:rPr>
              <w:t>Date</w:t>
            </w:r>
          </w:p>
        </w:tc>
        <w:tc>
          <w:tcPr>
            <w:tcW w:type="dxa" w:w="2351"/>
            <w:shd w:fill="1A2744" w:val="clear"/>
          </w:tcPr>
          <w:p>
            <w:pPr>
              <w:jc w:val="center"/>
            </w:pPr>
            <w:r>
              <w:rPr>
                <w:rFonts w:ascii="Times New Roman" w:hAnsi="Times New Roman"/>
                <w:b/>
                <w:color w:val="FFFFFF"/>
                <w:sz w:val="19"/>
              </w:rPr>
              <w:t>Fragments (&gt;10cm)</w:t>
            </w:r>
          </w:p>
        </w:tc>
        <w:tc>
          <w:tcPr>
            <w:tcW w:type="dxa" w:w="2351"/>
            <w:shd w:fill="1A2744" w:val="clear"/>
          </w:tcPr>
          <w:p>
            <w:pPr>
              <w:jc w:val="center"/>
            </w:pPr>
            <w:r>
              <w:rPr>
                <w:rFonts w:ascii="Times New Roman" w:hAnsi="Times New Roman"/>
                <w:b/>
                <w:color w:val="FFFFFF"/>
                <w:sz w:val="19"/>
              </w:rPr>
              <w:t>Mass</w:t>
            </w:r>
          </w:p>
        </w:tc>
      </w:tr>
      <w:tr>
        <w:tc>
          <w:tcPr>
            <w:tcW w:type="dxa" w:w="2351"/>
          </w:tcPr>
          <w:p>
            <w:r>
              <w:rPr>
                <w:rFonts w:ascii="Times New Roman" w:hAnsi="Times New Roman"/>
                <w:sz w:val="19"/>
              </w:rPr>
              <w:t>Fengyun-1C (ASAT test)</w:t>
            </w:r>
          </w:p>
        </w:tc>
        <w:tc>
          <w:tcPr>
            <w:tcW w:type="dxa" w:w="2351"/>
          </w:tcPr>
          <w:p>
            <w:r>
              <w:rPr>
                <w:rFonts w:ascii="Times New Roman" w:hAnsi="Times New Roman"/>
                <w:sz w:val="19"/>
              </w:rPr>
              <w:t>2007-01-11</w:t>
            </w:r>
          </w:p>
        </w:tc>
        <w:tc>
          <w:tcPr>
            <w:tcW w:type="dxa" w:w="2351"/>
          </w:tcPr>
          <w:p>
            <w:r>
              <w:rPr>
                <w:rFonts w:ascii="Times New Roman" w:hAnsi="Times New Roman"/>
                <w:sz w:val="19"/>
              </w:rPr>
              <w:t>~3,500</w:t>
            </w:r>
          </w:p>
        </w:tc>
        <w:tc>
          <w:tcPr>
            <w:tcW w:type="dxa" w:w="2351"/>
          </w:tcPr>
          <w:p>
            <w:r>
              <w:rPr>
                <w:rFonts w:ascii="Times New Roman" w:hAnsi="Times New Roman"/>
                <w:sz w:val="19"/>
              </w:rPr>
              <w:t>880 kg</w:t>
            </w:r>
          </w:p>
        </w:tc>
      </w:tr>
      <w:tr>
        <w:tc>
          <w:tcPr>
            <w:tcW w:type="dxa" w:w="2351"/>
            <w:shd w:fill="F8F9FA" w:val="clear"/>
          </w:tcPr>
          <w:p>
            <w:r>
              <w:rPr>
                <w:rFonts w:ascii="Times New Roman" w:hAnsi="Times New Roman"/>
                <w:sz w:val="19"/>
              </w:rPr>
              <w:t>Iridium 33 x Cosmos 2251</w:t>
            </w:r>
          </w:p>
        </w:tc>
        <w:tc>
          <w:tcPr>
            <w:tcW w:type="dxa" w:w="2351"/>
            <w:shd w:fill="F8F9FA" w:val="clear"/>
          </w:tcPr>
          <w:p>
            <w:r>
              <w:rPr>
                <w:rFonts w:ascii="Times New Roman" w:hAnsi="Times New Roman"/>
                <w:sz w:val="19"/>
              </w:rPr>
              <w:t>2009-02-10</w:t>
            </w:r>
          </w:p>
        </w:tc>
        <w:tc>
          <w:tcPr>
            <w:tcW w:type="dxa" w:w="2351"/>
            <w:shd w:fill="F8F9FA" w:val="clear"/>
          </w:tcPr>
          <w:p>
            <w:r>
              <w:rPr>
                <w:rFonts w:ascii="Times New Roman" w:hAnsi="Times New Roman"/>
                <w:sz w:val="19"/>
              </w:rPr>
              <w:t>~2,300</w:t>
            </w:r>
          </w:p>
        </w:tc>
        <w:tc>
          <w:tcPr>
            <w:tcW w:type="dxa" w:w="2351"/>
            <w:shd w:fill="F8F9FA" w:val="clear"/>
          </w:tcPr>
          <w:p>
            <w:r>
              <w:rPr>
                <w:rFonts w:ascii="Times New Roman" w:hAnsi="Times New Roman"/>
                <w:sz w:val="19"/>
              </w:rPr>
              <w:t>1,510 kg</w:t>
            </w:r>
          </w:p>
        </w:tc>
      </w:tr>
      <w:tr>
        <w:tc>
          <w:tcPr>
            <w:tcW w:type="dxa" w:w="2351"/>
          </w:tcPr>
          <w:p>
            <w:r>
              <w:rPr>
                <w:rFonts w:ascii="Times New Roman" w:hAnsi="Times New Roman"/>
                <w:sz w:val="19"/>
              </w:rPr>
              <w:t>Kosmos 1408 (ASAT test)</w:t>
            </w:r>
          </w:p>
        </w:tc>
        <w:tc>
          <w:tcPr>
            <w:tcW w:type="dxa" w:w="2351"/>
          </w:tcPr>
          <w:p>
            <w:r>
              <w:rPr>
                <w:rFonts w:ascii="Times New Roman" w:hAnsi="Times New Roman"/>
                <w:sz w:val="19"/>
              </w:rPr>
              <w:t>2021-11-15</w:t>
            </w:r>
          </w:p>
        </w:tc>
        <w:tc>
          <w:tcPr>
            <w:tcW w:type="dxa" w:w="2351"/>
          </w:tcPr>
          <w:p>
            <w:r>
              <w:rPr>
                <w:rFonts w:ascii="Times New Roman" w:hAnsi="Times New Roman"/>
                <w:sz w:val="19"/>
              </w:rPr>
              <w:t>~1,500</w:t>
            </w:r>
          </w:p>
        </w:tc>
        <w:tc>
          <w:tcPr>
            <w:tcW w:type="dxa" w:w="2351"/>
          </w:tcPr>
          <w:p>
            <w:r>
              <w:rPr>
                <w:rFonts w:ascii="Times New Roman" w:hAnsi="Times New Roman"/>
                <w:sz w:val="19"/>
              </w:rPr>
              <w:t>2,200 kg</w:t>
            </w:r>
          </w:p>
        </w:tc>
      </w:tr>
    </w:tbl>
    <w:p>
      <w:pPr>
        <w:spacing w:after="80"/>
      </w:pPr>
      <w:r>
        <w:rPr>
          <w:rFonts w:ascii="Times New Roman" w:hAnsi="Times New Roman"/>
          <w:i/>
          <w:color w:val="555555"/>
          <w:sz w:val="18"/>
        </w:rPr>
        <w:t>These three events collectively created about 7,300 catalogued fragments. The counts are catalogue totals rather than per-collision yields, so they are used as an order-of-magnitude consistency check, not to fit the operative log-normal parameters. Both ASAT tests (Fengyun-1C, Kosmos 1408) and the accidental collision (Iridium-Cosmos) are represented, ensuring the model captures both intentional and unintentional debris generation mechanisms.</w:t>
      </w:r>
    </w:p>
    <w:p>
      <w:pPr>
        <w:spacing w:before="240" w:after="120"/>
      </w:pPr>
      <w:r>
        <w:rPr>
          <w:rFonts w:ascii="Times New Roman" w:hAnsi="Times New Roman"/>
          <w:b/>
          <w:color w:val="0F1A30"/>
          <w:sz w:val="24"/>
        </w:rPr>
        <w:t>2.4 Validation Against Current Observations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351"/>
            <w:shd w:fill="1A2744" w:val="clear"/>
          </w:tcPr>
          <w:p>
            <w:pPr>
              <w:jc w:val="center"/>
            </w:pPr>
            <w:r>
              <w:rPr>
                <w:rFonts w:ascii="Times New Roman" w:hAnsi="Times New Roman"/>
                <w:b/>
                <w:color w:val="FFFFFF"/>
                <w:sz w:val="19"/>
              </w:rPr>
              <w:t>Metric</w:t>
            </w:r>
          </w:p>
        </w:tc>
        <w:tc>
          <w:tcPr>
            <w:tcW w:type="dxa" w:w="2351"/>
            <w:shd w:fill="1A2744" w:val="clear"/>
          </w:tcPr>
          <w:p>
            <w:pPr>
              <w:jc w:val="center"/>
            </w:pPr>
            <w:r>
              <w:rPr>
                <w:rFonts w:ascii="Times New Roman" w:hAnsi="Times New Roman"/>
                <w:b/>
                <w:color w:val="FFFFFF"/>
                <w:sz w:val="19"/>
              </w:rPr>
              <w:t>Model Value</w:t>
            </w:r>
          </w:p>
        </w:tc>
        <w:tc>
          <w:tcPr>
            <w:tcW w:type="dxa" w:w="2351"/>
            <w:shd w:fill="1A2744" w:val="clear"/>
          </w:tcPr>
          <w:p>
            <w:pPr>
              <w:jc w:val="center"/>
            </w:pPr>
            <w:r>
              <w:rPr>
                <w:rFonts w:ascii="Times New Roman" w:hAnsi="Times New Roman"/>
                <w:b/>
                <w:color w:val="FFFFFF"/>
                <w:sz w:val="19"/>
              </w:rPr>
              <w:t>Observed/Market Data</w:t>
            </w:r>
          </w:p>
        </w:tc>
        <w:tc>
          <w:tcPr>
            <w:tcW w:type="dxa" w:w="2351"/>
            <w:shd w:fill="1A2744" w:val="clear"/>
          </w:tcPr>
          <w:p>
            <w:pPr>
              <w:jc w:val="center"/>
            </w:pPr>
            <w:r>
              <w:rPr>
                <w:rFonts w:ascii="Times New Roman" w:hAnsi="Times New Roman"/>
                <w:b/>
                <w:color w:val="FFFFFF"/>
                <w:sz w:val="19"/>
              </w:rPr>
              <w:t>Source</w:t>
            </w:r>
          </w:p>
        </w:tc>
      </w:tr>
      <w:tr>
        <w:tc>
          <w:tcPr>
            <w:tcW w:type="dxa" w:w="2351"/>
          </w:tcPr>
          <w:p>
            <w:r>
              <w:rPr>
                <w:rFonts w:ascii="Times New Roman" w:hAnsi="Times New Roman"/>
                <w:sz w:val="19"/>
              </w:rPr>
              <w:t>Tracked debris (&gt;10cm), 2025</w:t>
            </w:r>
          </w:p>
        </w:tc>
        <w:tc>
          <w:tcPr>
            <w:tcW w:type="dxa" w:w="2351"/>
          </w:tcPr>
          <w:p>
            <w:r>
              <w:rPr>
                <w:rFonts w:ascii="Times New Roman" w:hAnsi="Times New Roman"/>
                <w:sz w:val="19"/>
              </w:rPr>
              <w:t>36,500</w:t>
            </w:r>
          </w:p>
        </w:tc>
        <w:tc>
          <w:tcPr>
            <w:tcW w:type="dxa" w:w="2351"/>
          </w:tcPr>
          <w:p>
            <w:r>
              <w:rPr>
                <w:rFonts w:ascii="Times New Roman" w:hAnsi="Times New Roman"/>
                <w:sz w:val="19"/>
              </w:rPr>
              <w:t>36,500</w:t>
            </w:r>
          </w:p>
        </w:tc>
        <w:tc>
          <w:tcPr>
            <w:tcW w:type="dxa" w:w="2351"/>
          </w:tcPr>
          <w:p>
            <w:r>
              <w:rPr>
                <w:rFonts w:ascii="Times New Roman" w:hAnsi="Times New Roman"/>
                <w:sz w:val="19"/>
              </w:rPr>
              <w:t>[11]</w:t>
            </w:r>
          </w:p>
        </w:tc>
      </w:tr>
      <w:tr>
        <w:tc>
          <w:tcPr>
            <w:tcW w:type="dxa" w:w="2351"/>
            <w:shd w:fill="F8F9FA" w:val="clear"/>
          </w:tcPr>
          <w:p>
            <w:r>
              <w:rPr>
                <w:rFonts w:ascii="Times New Roman" w:hAnsi="Times New Roman"/>
                <w:sz w:val="19"/>
              </w:rPr>
              <w:t>Global insurance market, 2025</w:t>
            </w:r>
          </w:p>
        </w:tc>
        <w:tc>
          <w:tcPr>
            <w:tcW w:type="dxa" w:w="2351"/>
            <w:shd w:fill="F8F9FA" w:val="clear"/>
          </w:tcPr>
          <w:p>
            <w:r>
              <w:rPr>
                <w:rFonts w:ascii="Times New Roman" w:hAnsi="Times New Roman"/>
                <w:sz w:val="19"/>
              </w:rPr>
              <w:t>-</w:t>
            </w:r>
          </w:p>
        </w:tc>
        <w:tc>
          <w:tcPr>
            <w:tcW w:type="dxa" w:w="2351"/>
            <w:shd w:fill="F8F9FA" w:val="clear"/>
          </w:tcPr>
          <w:p>
            <w:r>
              <w:rPr>
                <w:rFonts w:ascii="Times New Roman" w:hAnsi="Times New Roman"/>
                <w:sz w:val="19"/>
              </w:rPr>
              <w:t>$1.2B</w:t>
            </w:r>
          </w:p>
        </w:tc>
        <w:tc>
          <w:tcPr>
            <w:tcW w:type="dxa" w:w="2351"/>
            <w:shd w:fill="F8F9FA" w:val="clear"/>
          </w:tcPr>
          <w:p>
            <w:r>
              <w:rPr>
                <w:rFonts w:ascii="Times New Roman" w:hAnsi="Times New Roman"/>
                <w:sz w:val="19"/>
              </w:rPr>
              <w:t>[10]</w:t>
            </w:r>
          </w:p>
        </w:tc>
      </w:tr>
      <w:tr>
        <w:tc>
          <w:tcPr>
            <w:tcW w:type="dxa" w:w="2351"/>
          </w:tcPr>
          <w:p>
            <w:r>
              <w:rPr>
                <w:rFonts w:ascii="Times New Roman" w:hAnsi="Times New Roman"/>
                <w:sz w:val="19"/>
              </w:rPr>
              <w:t>In-orbit failure benchmark</w:t>
            </w:r>
          </w:p>
        </w:tc>
        <w:tc>
          <w:tcPr>
            <w:tcW w:type="dxa" w:w="2351"/>
          </w:tcPr>
          <w:p>
            <w:r>
              <w:rPr>
                <w:rFonts w:ascii="Times New Roman" w:hAnsi="Times New Roman"/>
                <w:sz w:val="19"/>
              </w:rPr>
              <w:t>0.5%</w:t>
            </w:r>
          </w:p>
        </w:tc>
        <w:tc>
          <w:tcPr>
            <w:tcW w:type="dxa" w:w="2351"/>
          </w:tcPr>
          <w:p>
            <w:r>
              <w:rPr>
                <w:rFonts w:ascii="Times New Roman" w:hAnsi="Times New Roman"/>
                <w:sz w:val="19"/>
              </w:rPr>
              <w:t>Assumption, not observed premium</w:t>
            </w:r>
          </w:p>
        </w:tc>
        <w:tc>
          <w:tcPr>
            <w:tcW w:type="dxa" w:w="2351"/>
          </w:tcPr>
          <w:p>
            <w:r>
              <w:rPr>
                <w:rFonts w:ascii="Times New Roman" w:hAnsi="Times New Roman"/>
                <w:sz w:val="19"/>
              </w:rPr>
              <w:t>Model assumption</w:t>
            </w:r>
          </w:p>
        </w:tc>
      </w:tr>
      <w:tr>
        <w:tc>
          <w:tcPr>
            <w:tcW w:type="dxa" w:w="2351"/>
            <w:shd w:fill="F8F9FA" w:val="clear"/>
          </w:tcPr>
          <w:p>
            <w:r>
              <w:rPr>
                <w:rFonts w:ascii="Times New Roman" w:hAnsi="Times New Roman"/>
                <w:sz w:val="19"/>
              </w:rPr>
              <w:t>Fengyun-1C fragments</w:t>
            </w:r>
          </w:p>
        </w:tc>
        <w:tc>
          <w:tcPr>
            <w:tcW w:type="dxa" w:w="2351"/>
            <w:shd w:fill="F8F9FA" w:val="clear"/>
          </w:tcPr>
          <w:p>
            <w:r>
              <w:rPr>
                <w:rFonts w:ascii="Times New Roman" w:hAnsi="Times New Roman"/>
                <w:sz w:val="19"/>
              </w:rPr>
              <w:t>~3,500</w:t>
            </w:r>
          </w:p>
        </w:tc>
        <w:tc>
          <w:tcPr>
            <w:tcW w:type="dxa" w:w="2351"/>
            <w:shd w:fill="F8F9FA" w:val="clear"/>
          </w:tcPr>
          <w:p>
            <w:r>
              <w:rPr>
                <w:rFonts w:ascii="Times New Roman" w:hAnsi="Times New Roman"/>
                <w:sz w:val="19"/>
              </w:rPr>
              <w:t>~3,500</w:t>
            </w:r>
          </w:p>
        </w:tc>
        <w:tc>
          <w:tcPr>
            <w:tcW w:type="dxa" w:w="2351"/>
            <w:shd w:fill="F8F9FA" w:val="clear"/>
          </w:tcPr>
          <w:p>
            <w:r>
              <w:rPr>
                <w:rFonts w:ascii="Times New Roman" w:hAnsi="Times New Roman"/>
                <w:sz w:val="19"/>
              </w:rPr>
              <w:t>[4]</w:t>
            </w:r>
          </w:p>
        </w:tc>
      </w:tr>
      <w:tr>
        <w:tc>
          <w:tcPr>
            <w:tcW w:type="dxa" w:w="2351"/>
          </w:tcPr>
          <w:p>
            <w:r>
              <w:rPr>
                <w:rFonts w:ascii="Times New Roman" w:hAnsi="Times New Roman"/>
                <w:sz w:val="19"/>
              </w:rPr>
              <w:t>Iridium-Cosmos fragments</w:t>
            </w:r>
          </w:p>
        </w:tc>
        <w:tc>
          <w:tcPr>
            <w:tcW w:type="dxa" w:w="2351"/>
          </w:tcPr>
          <w:p>
            <w:r>
              <w:rPr>
                <w:rFonts w:ascii="Times New Roman" w:hAnsi="Times New Roman"/>
                <w:sz w:val="19"/>
              </w:rPr>
              <w:t>~2,300</w:t>
            </w:r>
          </w:p>
        </w:tc>
        <w:tc>
          <w:tcPr>
            <w:tcW w:type="dxa" w:w="2351"/>
          </w:tcPr>
          <w:p>
            <w:r>
              <w:rPr>
                <w:rFonts w:ascii="Times New Roman" w:hAnsi="Times New Roman"/>
                <w:sz w:val="19"/>
              </w:rPr>
              <w:t>~2,300</w:t>
            </w:r>
          </w:p>
        </w:tc>
        <w:tc>
          <w:tcPr>
            <w:tcW w:type="dxa" w:w="2351"/>
          </w:tcPr>
          <w:p>
            <w:r>
              <w:rPr>
                <w:rFonts w:ascii="Times New Roman" w:hAnsi="Times New Roman"/>
                <w:sz w:val="19"/>
              </w:rPr>
              <w:t>[4]</w:t>
            </w:r>
          </w:p>
        </w:tc>
      </w:tr>
      <w:tr>
        <w:tc>
          <w:tcPr>
            <w:tcW w:type="dxa" w:w="2351"/>
            <w:shd w:fill="F8F9FA" w:val="clear"/>
          </w:tcPr>
          <w:p>
            <w:r>
              <w:rPr>
                <w:rFonts w:ascii="Times New Roman" w:hAnsi="Times New Roman"/>
                <w:sz w:val="19"/>
              </w:rPr>
              <w:t>Kosmos 1408 fragments</w:t>
            </w:r>
          </w:p>
        </w:tc>
        <w:tc>
          <w:tcPr>
            <w:tcW w:type="dxa" w:w="2351"/>
            <w:shd w:fill="F8F9FA" w:val="clear"/>
          </w:tcPr>
          <w:p>
            <w:r>
              <w:rPr>
                <w:rFonts w:ascii="Times New Roman" w:hAnsi="Times New Roman"/>
                <w:sz w:val="19"/>
              </w:rPr>
              <w:t>~1,500</w:t>
            </w:r>
          </w:p>
        </w:tc>
        <w:tc>
          <w:tcPr>
            <w:tcW w:type="dxa" w:w="2351"/>
            <w:shd w:fill="F8F9FA" w:val="clear"/>
          </w:tcPr>
          <w:p>
            <w:r>
              <w:rPr>
                <w:rFonts w:ascii="Times New Roman" w:hAnsi="Times New Roman"/>
                <w:sz w:val="19"/>
              </w:rPr>
              <w:t>~1,500</w:t>
            </w:r>
          </w:p>
        </w:tc>
        <w:tc>
          <w:tcPr>
            <w:tcW w:type="dxa" w:w="2351"/>
            <w:shd w:fill="F8F9FA" w:val="clear"/>
          </w:tcPr>
          <w:p>
            <w:r>
              <w:rPr>
                <w:rFonts w:ascii="Times New Roman" w:hAnsi="Times New Roman"/>
                <w:sz w:val="19"/>
              </w:rPr>
              <w:t>[4]</w:t>
            </w:r>
          </w:p>
        </w:tc>
      </w:tr>
      <w:tr>
        <w:tc>
          <w:tcPr>
            <w:tcW w:type="dxa" w:w="2351"/>
          </w:tcPr>
          <w:p>
            <w:r>
              <w:rPr>
                <w:rFonts w:ascii="Times New Roman" w:hAnsi="Times New Roman"/>
                <w:sz w:val="19"/>
              </w:rPr>
              <w:t>Cascade-adjusted premium</w:t>
            </w:r>
          </w:p>
        </w:tc>
        <w:tc>
          <w:tcPr>
            <w:tcW w:type="dxa" w:w="2351"/>
          </w:tcPr>
          <w:p>
            <w:r>
              <w:rPr>
                <w:rFonts w:ascii="Times New Roman" w:hAnsi="Times New Roman"/>
                <w:sz w:val="19"/>
              </w:rPr>
              <w:t>$2,058M/year</w:t>
            </w:r>
          </w:p>
        </w:tc>
        <w:tc>
          <w:tcPr>
            <w:tcW w:type="dxa" w:w="2351"/>
          </w:tcPr>
          <w:p>
            <w:r>
              <w:rPr>
                <w:rFonts w:ascii="Times New Roman" w:hAnsi="Times New Roman"/>
                <w:sz w:val="19"/>
              </w:rPr>
              <w:t>Not yet priced</w:t>
            </w:r>
          </w:p>
        </w:tc>
        <w:tc>
          <w:tcPr>
            <w:tcW w:type="dxa" w:w="2351"/>
          </w:tcPr>
          <w:p>
            <w:r>
              <w:rPr>
                <w:rFonts w:ascii="Times New Roman" w:hAnsi="Times New Roman"/>
                <w:sz w:val="19"/>
              </w:rPr>
              <w:t>Model prediction</w:t>
            </w:r>
          </w:p>
        </w:tc>
      </w:tr>
    </w:tbl>
    <w:p>
      <w:pPr>
        <w:spacing w:after="80"/>
      </w:pPr>
      <w:r>
        <w:rPr>
          <w:rFonts w:ascii="Times New Roman" w:hAnsi="Times New Roman"/>
          <w:i/>
          <w:color w:val="555555"/>
          <w:sz w:val="18"/>
        </w:rPr>
        <w:t>The model's initial conditions align with current observational data from the ESA Space Environment Report 2025 [11]. The event counts match IADC records and NASA fragmentation data [4] as an order-of-magnitude check. The cascade-adjusted premium of $2,058M/year is a conditional estimate of what cascade-aware pricing would be, compared with a $125M/year benchmark that applies a 0.5% of hull value rate to the same 500 satellites. The 0.5% rate is a modelling assumption, used here only as a reference point; it is not an observed market premium. The 16.5x ratio is conditional on assigning the entire &gt;10 cm catalogue to the 700-900 km shell, on expected claim counts, and on a mean-field backbone whose finite-time singularity is at t* = 61 years.</w:t>
      </w:r>
    </w:p>
    <w:p>
      <w:pPr>
        <w:spacing w:before="360" w:after="160"/>
      </w:pPr>
      <w:r>
        <w:rPr>
          <w:rFonts w:ascii="Times New Roman" w:hAnsi="Times New Roman"/>
          <w:b/>
          <w:color w:val="0F1A30"/>
          <w:sz w:val="24"/>
        </w:rPr>
        <w:t>3. Results</w:t>
      </w:r>
    </w:p>
    <w:p>
      <w:pPr>
        <w:spacing w:before="240" w:after="120"/>
      </w:pPr>
      <w:r>
        <w:rPr>
          <w:rFonts w:ascii="Times New Roman" w:hAnsi="Times New Roman"/>
          <w:b/>
          <w:color w:val="0F1A30"/>
          <w:sz w:val="24"/>
        </w:rPr>
        <w:t>3.1 Debris Projection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4703"/>
            <w:shd w:fill="1A2744" w:val="clear"/>
          </w:tcPr>
          <w:p>
            <w:pPr>
              <w:jc w:val="center"/>
            </w:pPr>
            <w:r>
              <w:rPr>
                <w:rFonts w:ascii="Times New Roman" w:hAnsi="Times New Roman"/>
                <w:b/>
                <w:color w:val="FFFFFF"/>
                <w:sz w:val="19"/>
              </w:rPr>
              <w:t>Parameter</w:t>
            </w:r>
          </w:p>
        </w:tc>
        <w:tc>
          <w:tcPr>
            <w:tcW w:type="dxa" w:w="4703"/>
            <w:shd w:fill="1A2744" w:val="clear"/>
          </w:tcPr>
          <w:p>
            <w:pPr>
              <w:jc w:val="center"/>
            </w:pPr>
            <w:r>
              <w:rPr>
                <w:rFonts w:ascii="Times New Roman" w:hAnsi="Times New Roman"/>
                <w:b/>
                <w:color w:val="FFFFFF"/>
                <w:sz w:val="19"/>
              </w:rPr>
              <w:t>Value</w:t>
            </w:r>
          </w:p>
        </w:tc>
      </w:tr>
      <w:tr>
        <w:tc>
          <w:tcPr>
            <w:tcW w:type="dxa" w:w="4703"/>
          </w:tcPr>
          <w:p>
            <w:r>
              <w:rPr>
                <w:rFonts w:ascii="Times New Roman" w:hAnsi="Times New Roman"/>
                <w:sz w:val="19"/>
              </w:rPr>
              <w:t>Monte Carlo paths</w:t>
            </w:r>
          </w:p>
        </w:tc>
        <w:tc>
          <w:tcPr>
            <w:tcW w:type="dxa" w:w="4703"/>
          </w:tcPr>
          <w:p>
            <w:r>
              <w:rPr>
                <w:rFonts w:ascii="Times New Roman" w:hAnsi="Times New Roman"/>
                <w:sz w:val="19"/>
              </w:rPr>
              <w:t>1,000</w:t>
            </w:r>
          </w:p>
        </w:tc>
      </w:tr>
      <w:tr>
        <w:tc>
          <w:tcPr>
            <w:tcW w:type="dxa" w:w="4703"/>
            <w:shd w:fill="F8F9FA" w:val="clear"/>
          </w:tcPr>
          <w:p>
            <w:r>
              <w:rPr>
                <w:rFonts w:ascii="Times New Roman" w:hAnsi="Times New Roman"/>
                <w:sz w:val="19"/>
              </w:rPr>
              <w:t>Time horizon</w:t>
            </w:r>
          </w:p>
        </w:tc>
        <w:tc>
          <w:tcPr>
            <w:tcW w:type="dxa" w:w="4703"/>
            <w:shd w:fill="F8F9FA" w:val="clear"/>
          </w:tcPr>
          <w:p>
            <w:r>
              <w:rPr>
                <w:rFonts w:ascii="Times New Roman" w:hAnsi="Times New Roman"/>
                <w:sz w:val="19"/>
              </w:rPr>
              <w:t>50 years (2025-2075)</w:t>
            </w:r>
          </w:p>
        </w:tc>
      </w:tr>
      <w:tr>
        <w:tc>
          <w:tcPr>
            <w:tcW w:type="dxa" w:w="4703"/>
          </w:tcPr>
          <w:p>
            <w:r>
              <w:rPr>
                <w:rFonts w:ascii="Times New Roman" w:hAnsi="Times New Roman"/>
                <w:sz w:val="19"/>
              </w:rPr>
              <w:t>Time step</w:t>
            </w:r>
          </w:p>
        </w:tc>
        <w:tc>
          <w:tcPr>
            <w:tcW w:type="dxa" w:w="4703"/>
          </w:tcPr>
          <w:p>
            <w:r>
              <w:rPr>
                <w:rFonts w:ascii="Times New Roman" w:hAnsi="Times New Roman"/>
                <w:sz w:val="19"/>
              </w:rPr>
              <w:t>0.1 year (36.5 days)</w:t>
            </w:r>
          </w:p>
        </w:tc>
      </w:tr>
      <w:tr>
        <w:tc>
          <w:tcPr>
            <w:tcW w:type="dxa" w:w="4703"/>
            <w:shd w:fill="F8F9FA" w:val="clear"/>
          </w:tcPr>
          <w:p>
            <w:r>
              <w:rPr>
                <w:rFonts w:ascii="Times New Roman" w:hAnsi="Times New Roman"/>
                <w:sz w:val="19"/>
              </w:rPr>
              <w:t>Initial debris (&gt;10 cm)</w:t>
            </w:r>
          </w:p>
        </w:tc>
        <w:tc>
          <w:tcPr>
            <w:tcW w:type="dxa" w:w="4703"/>
            <w:shd w:fill="F8F9FA" w:val="clear"/>
          </w:tcPr>
          <w:p>
            <w:r>
              <w:rPr>
                <w:rFonts w:ascii="Times New Roman" w:hAnsi="Times New Roman"/>
                <w:sz w:val="19"/>
              </w:rPr>
              <w:t>36,500</w:t>
            </w:r>
          </w:p>
        </w:tc>
      </w:tr>
      <w:tr>
        <w:tc>
          <w:tcPr>
            <w:tcW w:type="dxa" w:w="4703"/>
          </w:tcPr>
          <w:p>
            <w:r>
              <w:rPr>
                <w:rFonts w:ascii="Times New Roman" w:hAnsi="Times New Roman"/>
                <w:sz w:val="19"/>
              </w:rPr>
              <w:t>Active satellites in shell</w:t>
            </w:r>
          </w:p>
        </w:tc>
        <w:tc>
          <w:tcPr>
            <w:tcW w:type="dxa" w:w="4703"/>
          </w:tcPr>
          <w:p>
            <w:r>
              <w:rPr>
                <w:rFonts w:ascii="Times New Roman" w:hAnsi="Times New Roman"/>
                <w:sz w:val="19"/>
              </w:rPr>
              <w:t>8,000</w:t>
            </w:r>
          </w:p>
        </w:tc>
      </w:tr>
      <w:tr>
        <w:tc>
          <w:tcPr>
            <w:tcW w:type="dxa" w:w="4703"/>
            <w:shd w:fill="F8F9FA" w:val="clear"/>
          </w:tcPr>
          <w:p>
            <w:r>
              <w:rPr>
                <w:rFonts w:ascii="Times New Roman" w:hAnsi="Times New Roman"/>
                <w:sz w:val="19"/>
              </w:rPr>
              <w:t>Insured portfolio</w:t>
            </w:r>
          </w:p>
        </w:tc>
        <w:tc>
          <w:tcPr>
            <w:tcW w:type="dxa" w:w="4703"/>
            <w:shd w:fill="F8F9FA" w:val="clear"/>
          </w:tcPr>
          <w:p>
            <w:r>
              <w:rPr>
                <w:rFonts w:ascii="Times New Roman" w:hAnsi="Times New Roman"/>
                <w:sz w:val="19"/>
              </w:rPr>
              <w:t>500 satellites at $50M each</w:t>
            </w:r>
          </w:p>
        </w:tc>
      </w:tr>
      <w:tr>
        <w:tc>
          <w:tcPr>
            <w:tcW w:type="dxa" w:w="4703"/>
          </w:tcPr>
          <w:p>
            <w:r>
              <w:rPr>
                <w:rFonts w:ascii="Times New Roman" w:hAnsi="Times New Roman"/>
                <w:sz w:val="19"/>
              </w:rPr>
              <w:t>Final debris (mean)</w:t>
            </w:r>
          </w:p>
        </w:tc>
        <w:tc>
          <w:tcPr>
            <w:tcW w:type="dxa" w:w="4703"/>
          </w:tcPr>
          <w:p>
            <w:r>
              <w:rPr>
                <w:rFonts w:ascii="Times New Roman" w:hAnsi="Times New Roman"/>
                <w:sz w:val="19"/>
              </w:rPr>
              <w:t>1,509,425</w:t>
            </w:r>
          </w:p>
        </w:tc>
      </w:tr>
      <w:tr>
        <w:tc>
          <w:tcPr>
            <w:tcW w:type="dxa" w:w="4703"/>
            <w:shd w:fill="F8F9FA" w:val="clear"/>
          </w:tcPr>
          <w:p>
            <w:r>
              <w:rPr>
                <w:rFonts w:ascii="Times New Roman" w:hAnsi="Times New Roman"/>
                <w:sz w:val="19"/>
              </w:rPr>
              <w:t>Final debris (median)</w:t>
            </w:r>
          </w:p>
        </w:tc>
        <w:tc>
          <w:tcPr>
            <w:tcW w:type="dxa" w:w="4703"/>
            <w:shd w:fill="F8F9FA" w:val="clear"/>
          </w:tcPr>
          <w:p>
            <w:r>
              <w:rPr>
                <w:rFonts w:ascii="Times New Roman" w:hAnsi="Times New Roman"/>
                <w:sz w:val="19"/>
              </w:rPr>
              <w:t>1,429,504</w:t>
            </w:r>
          </w:p>
        </w:tc>
      </w:tr>
      <w:tr>
        <w:tc>
          <w:tcPr>
            <w:tcW w:type="dxa" w:w="4703"/>
          </w:tcPr>
          <w:p>
            <w:r>
              <w:rPr>
                <w:rFonts w:ascii="Times New Roman" w:hAnsi="Times New Roman"/>
                <w:sz w:val="19"/>
              </w:rPr>
              <w:t>Final debris (95th pctile)</w:t>
            </w:r>
          </w:p>
        </w:tc>
        <w:tc>
          <w:tcPr>
            <w:tcW w:type="dxa" w:w="4703"/>
          </w:tcPr>
          <w:p>
            <w:r>
              <w:rPr>
                <w:rFonts w:ascii="Times New Roman" w:hAnsi="Times New Roman"/>
                <w:sz w:val="19"/>
              </w:rPr>
              <w:t>2,236,440</w:t>
            </w:r>
          </w:p>
        </w:tc>
      </w:tr>
    </w:tbl>
    <w:p>
      <w:pPr>
        <w:spacing w:after="80"/>
      </w:pPr>
      <w:r>
        <w:rPr>
          <w:rFonts w:ascii="Times New Roman" w:hAnsi="Times New Roman"/>
          <w:i/>
          <w:color w:val="555555"/>
          <w:sz w:val="18"/>
        </w:rPr>
        <w:t>Debris grows 41x over 50 years under business-as-usual conditions. The 95th percentile path reaches 2.24 million objects, representing a 61x increase.</w:t>
      </w:r>
    </w:p>
    <w:p>
      <w:pPr>
        <w:spacing w:before="240" w:after="120"/>
      </w:pPr>
      <w:r>
        <w:rPr>
          <w:rFonts w:ascii="Times New Roman" w:hAnsi="Times New Roman"/>
          <w:b/>
          <w:color w:val="0F1A30"/>
          <w:sz w:val="24"/>
        </w:rPr>
        <w:t>3.2 Actuarial Risk Metrics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135"/>
            <w:shd w:fill="1A2744" w:val="clear"/>
          </w:tcPr>
          <w:p>
            <w:pPr>
              <w:jc w:val="center"/>
            </w:pPr>
            <w:r>
              <w:rPr>
                <w:rFonts w:ascii="Times New Roman" w:hAnsi="Times New Roman"/>
                <w:b/>
                <w:color w:val="FFFFFF"/>
                <w:sz w:val="19"/>
              </w:rPr>
              <w:t>Metric</w:t>
            </w:r>
          </w:p>
        </w:tc>
        <w:tc>
          <w:tcPr>
            <w:tcW w:type="dxa" w:w="3135"/>
            <w:shd w:fill="1A2744" w:val="clear"/>
          </w:tcPr>
          <w:p>
            <w:pPr>
              <w:jc w:val="center"/>
            </w:pPr>
            <w:r>
              <w:rPr>
                <w:rFonts w:ascii="Times New Roman" w:hAnsi="Times New Roman"/>
                <w:b/>
                <w:color w:val="FFFFFF"/>
                <w:sz w:val="19"/>
              </w:rPr>
              <w:t>Definition</w:t>
            </w:r>
          </w:p>
        </w:tc>
        <w:tc>
          <w:tcPr>
            <w:tcW w:type="dxa" w:w="3135"/>
            <w:shd w:fill="1A2744" w:val="clear"/>
          </w:tcPr>
          <w:p>
            <w:pPr>
              <w:jc w:val="center"/>
            </w:pPr>
            <w:r>
              <w:rPr>
                <w:rFonts w:ascii="Times New Roman" w:hAnsi="Times New Roman"/>
                <w:b/>
                <w:color w:val="FFFFFF"/>
                <w:sz w:val="19"/>
              </w:rPr>
              <w:t>Value</w:t>
            </w:r>
          </w:p>
        </w:tc>
      </w:tr>
      <w:tr>
        <w:tc>
          <w:tcPr>
            <w:tcW w:type="dxa" w:w="3135"/>
          </w:tcPr>
          <w:p>
            <w:r>
              <w:rPr>
                <w:rFonts w:ascii="Times New Roman" w:hAnsi="Times New Roman"/>
                <w:sz w:val="19"/>
              </w:rPr>
              <w:t>Expected Loss (EL)</w:t>
            </w:r>
          </w:p>
        </w:tc>
        <w:tc>
          <w:tcPr>
            <w:tcW w:type="dxa" w:w="3135"/>
          </w:tcPr>
          <w:p>
            <w:r>
              <w:rPr>
                <w:rFonts w:ascii="Times New Roman" w:hAnsi="Times New Roman"/>
                <w:sz w:val="19"/>
              </w:rPr>
              <w:t>Mean worst-year portfolio loss</w:t>
            </w:r>
          </w:p>
        </w:tc>
        <w:tc>
          <w:tcPr>
            <w:tcW w:type="dxa" w:w="3135"/>
          </w:tcPr>
          <w:p>
            <w:r>
              <w:rPr>
                <w:rFonts w:ascii="Times New Roman" w:hAnsi="Times New Roman"/>
                <w:sz w:val="19"/>
              </w:rPr>
              <w:t>$921.4M</w:t>
            </w:r>
          </w:p>
        </w:tc>
      </w:tr>
      <w:tr>
        <w:tc>
          <w:tcPr>
            <w:tcW w:type="dxa" w:w="3135"/>
            <w:shd w:fill="F8F9FA" w:val="clear"/>
          </w:tcPr>
          <w:p>
            <w:r>
              <w:rPr>
                <w:rFonts w:ascii="Times New Roman" w:hAnsi="Times New Roman"/>
                <w:sz w:val="19"/>
              </w:rPr>
              <w:t>VaR (95%)</w:t>
            </w:r>
          </w:p>
        </w:tc>
        <w:tc>
          <w:tcPr>
            <w:tcW w:type="dxa" w:w="3135"/>
            <w:shd w:fill="F8F9FA" w:val="clear"/>
          </w:tcPr>
          <w:p>
            <w:r>
              <w:rPr>
                <w:rFonts w:ascii="Times New Roman" w:hAnsi="Times New Roman"/>
                <w:sz w:val="19"/>
              </w:rPr>
              <w:t>95th pctile worst-year loss</w:t>
            </w:r>
          </w:p>
        </w:tc>
        <w:tc>
          <w:tcPr>
            <w:tcW w:type="dxa" w:w="3135"/>
            <w:shd w:fill="F8F9FA" w:val="clear"/>
          </w:tcPr>
          <w:p>
            <w:r>
              <w:rPr>
                <w:rFonts w:ascii="Times New Roman" w:hAnsi="Times New Roman"/>
                <w:sz w:val="19"/>
              </w:rPr>
              <w:t>$1,365M</w:t>
            </w:r>
          </w:p>
        </w:tc>
      </w:tr>
      <w:tr>
        <w:tc>
          <w:tcPr>
            <w:tcW w:type="dxa" w:w="3135"/>
          </w:tcPr>
          <w:p>
            <w:r>
              <w:rPr>
                <w:rFonts w:ascii="Times New Roman" w:hAnsi="Times New Roman"/>
                <w:sz w:val="19"/>
              </w:rPr>
              <w:t>CVaR (95%) / ES</w:t>
            </w:r>
          </w:p>
        </w:tc>
        <w:tc>
          <w:tcPr>
            <w:tcW w:type="dxa" w:w="3135"/>
          </w:tcPr>
          <w:p>
            <w:r>
              <w:rPr>
                <w:rFonts w:ascii="Times New Roman" w:hAnsi="Times New Roman"/>
                <w:sz w:val="19"/>
              </w:rPr>
              <w:t>Avg loss beyond VaR(95%)</w:t>
            </w:r>
          </w:p>
        </w:tc>
        <w:tc>
          <w:tcPr>
            <w:tcW w:type="dxa" w:w="3135"/>
          </w:tcPr>
          <w:p>
            <w:r>
              <w:rPr>
                <w:rFonts w:ascii="Times New Roman" w:hAnsi="Times New Roman"/>
                <w:sz w:val="19"/>
              </w:rPr>
              <w:t>$1,565M</w:t>
            </w:r>
          </w:p>
        </w:tc>
      </w:tr>
      <w:tr>
        <w:tc>
          <w:tcPr>
            <w:tcW w:type="dxa" w:w="3135"/>
            <w:shd w:fill="F8F9FA" w:val="clear"/>
          </w:tcPr>
          <w:p>
            <w:r>
              <w:rPr>
                <w:rFonts w:ascii="Times New Roman" w:hAnsi="Times New Roman"/>
                <w:sz w:val="19"/>
              </w:rPr>
              <w:t>VaR (99%)</w:t>
            </w:r>
          </w:p>
        </w:tc>
        <w:tc>
          <w:tcPr>
            <w:tcW w:type="dxa" w:w="3135"/>
            <w:shd w:fill="F8F9FA" w:val="clear"/>
          </w:tcPr>
          <w:p>
            <w:r>
              <w:rPr>
                <w:rFonts w:ascii="Times New Roman" w:hAnsi="Times New Roman"/>
                <w:sz w:val="19"/>
              </w:rPr>
              <w:t>99th pctile worst-year loss</w:t>
            </w:r>
          </w:p>
        </w:tc>
        <w:tc>
          <w:tcPr>
            <w:tcW w:type="dxa" w:w="3135"/>
            <w:shd w:fill="F8F9FA" w:val="clear"/>
          </w:tcPr>
          <w:p>
            <w:r>
              <w:rPr>
                <w:rFonts w:ascii="Times New Roman" w:hAnsi="Times New Roman"/>
                <w:sz w:val="19"/>
              </w:rPr>
              <w:t>$1,721M</w:t>
            </w:r>
          </w:p>
        </w:tc>
      </w:tr>
      <w:tr>
        <w:tc>
          <w:tcPr>
            <w:tcW w:type="dxa" w:w="3135"/>
          </w:tcPr>
          <w:p>
            <w:r>
              <w:rPr>
                <w:rFonts w:ascii="Times New Roman" w:hAnsi="Times New Roman"/>
                <w:sz w:val="19"/>
              </w:rPr>
              <w:t>CVaR (99%) / ES</w:t>
            </w:r>
          </w:p>
        </w:tc>
        <w:tc>
          <w:tcPr>
            <w:tcW w:type="dxa" w:w="3135"/>
          </w:tcPr>
          <w:p>
            <w:r>
              <w:rPr>
                <w:rFonts w:ascii="Times New Roman" w:hAnsi="Times New Roman"/>
                <w:sz w:val="19"/>
              </w:rPr>
              <w:t>Avg loss beyond VaR(99%)</w:t>
            </w:r>
          </w:p>
        </w:tc>
        <w:tc>
          <w:tcPr>
            <w:tcW w:type="dxa" w:w="3135"/>
          </w:tcPr>
          <w:p>
            <w:r>
              <w:rPr>
                <w:rFonts w:ascii="Times New Roman" w:hAnsi="Times New Roman"/>
                <w:sz w:val="19"/>
              </w:rPr>
              <w:t>$1,854M</w:t>
            </w:r>
          </w:p>
        </w:tc>
      </w:tr>
      <w:tr>
        <w:tc>
          <w:tcPr>
            <w:tcW w:type="dxa" w:w="3135"/>
            <w:shd w:fill="F8F9FA" w:val="clear"/>
          </w:tcPr>
          <w:p>
            <w:r>
              <w:rPr>
                <w:rFonts w:ascii="Times New Roman" w:hAnsi="Times New Roman"/>
                <w:sz w:val="19"/>
              </w:rPr>
              <w:t>EVT VaR (95%)</w:t>
            </w:r>
          </w:p>
        </w:tc>
        <w:tc>
          <w:tcPr>
            <w:tcW w:type="dxa" w:w="3135"/>
            <w:shd w:fill="F8F9FA" w:val="clear"/>
          </w:tcPr>
          <w:p>
            <w:r>
              <w:rPr>
                <w:rFonts w:ascii="Times New Roman" w:hAnsi="Times New Roman"/>
                <w:sz w:val="19"/>
              </w:rPr>
              <w:t>Generalized Pareto estimate with exceedance ratio</w:t>
            </w:r>
          </w:p>
        </w:tc>
        <w:tc>
          <w:tcPr>
            <w:tcW w:type="dxa" w:w="3135"/>
            <w:shd w:fill="F8F9FA" w:val="clear"/>
          </w:tcPr>
          <w:p>
            <w:r>
              <w:rPr>
                <w:rFonts w:ascii="Times New Roman" w:hAnsi="Times New Roman"/>
                <w:sz w:val="19"/>
              </w:rPr>
              <w:t>$1,375M</w:t>
            </w:r>
          </w:p>
        </w:tc>
      </w:tr>
      <w:tr>
        <w:tc>
          <w:tcPr>
            <w:tcW w:type="dxa" w:w="3135"/>
          </w:tcPr>
          <w:p>
            <w:r>
              <w:rPr>
                <w:rFonts w:ascii="Times New Roman" w:hAnsi="Times New Roman"/>
                <w:sz w:val="19"/>
              </w:rPr>
              <w:t>EVT VaR (99%)</w:t>
            </w:r>
          </w:p>
        </w:tc>
        <w:tc>
          <w:tcPr>
            <w:tcW w:type="dxa" w:w="3135"/>
          </w:tcPr>
          <w:p>
            <w:r>
              <w:rPr>
                <w:rFonts w:ascii="Times New Roman" w:hAnsi="Times New Roman"/>
                <w:sz w:val="19"/>
              </w:rPr>
              <w:t>Generalized Pareto estimate with exceedance ratio</w:t>
            </w:r>
          </w:p>
        </w:tc>
        <w:tc>
          <w:tcPr>
            <w:tcW w:type="dxa" w:w="3135"/>
          </w:tcPr>
          <w:p>
            <w:r>
              <w:rPr>
                <w:rFonts w:ascii="Times New Roman" w:hAnsi="Times New Roman"/>
                <w:sz w:val="19"/>
              </w:rPr>
              <w:t>$1,677M</w:t>
            </w:r>
          </w:p>
        </w:tc>
      </w:tr>
      <w:tr>
        <w:tc>
          <w:tcPr>
            <w:tcW w:type="dxa" w:w="3135"/>
            <w:shd w:fill="F8F9FA" w:val="clear"/>
          </w:tcPr>
          <w:p>
            <w:r>
              <w:rPr>
                <w:rFonts w:ascii="Times New Roman" w:hAnsi="Times New Roman"/>
                <w:sz w:val="19"/>
              </w:rPr>
              <w:t>GPD shape (xi)</w:t>
            </w:r>
          </w:p>
        </w:tc>
        <w:tc>
          <w:tcPr>
            <w:tcW w:type="dxa" w:w="3135"/>
            <w:shd w:fill="F8F9FA" w:val="clear"/>
          </w:tcPr>
          <w:p>
            <w:r>
              <w:rPr>
                <w:rFonts w:ascii="Times New Roman" w:hAnsi="Times New Roman"/>
                <w:sz w:val="19"/>
              </w:rPr>
              <w:t>Tail index (xi&lt;0: bounded tail)</w:t>
            </w:r>
          </w:p>
        </w:tc>
        <w:tc>
          <w:tcPr>
            <w:tcW w:type="dxa" w:w="3135"/>
            <w:shd w:fill="F8F9FA" w:val="clear"/>
          </w:tcPr>
          <w:p>
            <w:r>
              <w:rPr>
                <w:rFonts w:ascii="Times New Roman" w:hAnsi="Times New Roman"/>
                <w:sz w:val="19"/>
              </w:rPr>
              <w:t>-0.032</w:t>
            </w:r>
          </w:p>
        </w:tc>
      </w:tr>
    </w:tbl>
    <w:p>
      <w:pPr>
        <w:spacing w:before="240" w:after="120"/>
      </w:pPr>
      <w:r>
        <w:rPr>
          <w:rFonts w:ascii="Times New Roman" w:hAnsi="Times New Roman"/>
          <w:b/>
          <w:color w:val="0F1A30"/>
          <w:sz w:val="24"/>
        </w:rPr>
        <w:t>3.3 Premium Decomposition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135"/>
            <w:shd w:fill="1A2744" w:val="clear"/>
          </w:tcPr>
          <w:p>
            <w:pPr>
              <w:jc w:val="center"/>
            </w:pPr>
            <w:r>
              <w:rPr>
                <w:rFonts w:ascii="Times New Roman" w:hAnsi="Times New Roman"/>
                <w:b/>
                <w:color w:val="FFFFFF"/>
                <w:sz w:val="19"/>
              </w:rPr>
              <w:t>Component</w:t>
            </w:r>
          </w:p>
        </w:tc>
        <w:tc>
          <w:tcPr>
            <w:tcW w:type="dxa" w:w="3135"/>
            <w:shd w:fill="1A2744" w:val="clear"/>
          </w:tcPr>
          <w:p>
            <w:pPr>
              <w:jc w:val="center"/>
            </w:pPr>
            <w:r>
              <w:rPr>
                <w:rFonts w:ascii="Times New Roman" w:hAnsi="Times New Roman"/>
                <w:b/>
                <w:color w:val="FFFFFF"/>
                <w:sz w:val="19"/>
              </w:rPr>
              <w:t>Formula</w:t>
            </w:r>
          </w:p>
        </w:tc>
        <w:tc>
          <w:tcPr>
            <w:tcW w:type="dxa" w:w="3135"/>
            <w:shd w:fill="1A2744" w:val="clear"/>
          </w:tcPr>
          <w:p>
            <w:pPr>
              <w:jc w:val="center"/>
            </w:pPr>
            <w:r>
              <w:rPr>
                <w:rFonts w:ascii="Times New Roman" w:hAnsi="Times New Roman"/>
                <w:b/>
                <w:color w:val="FFFFFF"/>
                <w:sz w:val="19"/>
              </w:rPr>
              <w:t>Amount</w:t>
            </w:r>
          </w:p>
        </w:tc>
      </w:tr>
      <w:tr>
        <w:tc>
          <w:tcPr>
            <w:tcW w:type="dxa" w:w="3135"/>
          </w:tcPr>
          <w:p>
            <w:r>
              <w:rPr>
                <w:rFonts w:ascii="Times New Roman" w:hAnsi="Times New Roman"/>
                <w:sz w:val="19"/>
              </w:rPr>
              <w:t>Expected Loss (EL)</w:t>
            </w:r>
          </w:p>
        </w:tc>
        <w:tc>
          <w:tcPr>
            <w:tcW w:type="dxa" w:w="3135"/>
          </w:tcPr>
          <w:p>
            <w:r>
              <w:rPr>
                <w:rFonts w:ascii="Times New Roman" w:hAnsi="Times New Roman"/>
                <w:sz w:val="19"/>
              </w:rPr>
              <w:t>Mean worst-year loss</w:t>
            </w:r>
          </w:p>
        </w:tc>
        <w:tc>
          <w:tcPr>
            <w:tcW w:type="dxa" w:w="3135"/>
          </w:tcPr>
          <w:p>
            <w:r>
              <w:rPr>
                <w:rFonts w:ascii="Times New Roman" w:hAnsi="Times New Roman"/>
                <w:sz w:val="19"/>
              </w:rPr>
              <w:t>$921.4M</w:t>
            </w:r>
          </w:p>
        </w:tc>
      </w:tr>
      <w:tr>
        <w:tc>
          <w:tcPr>
            <w:tcW w:type="dxa" w:w="3135"/>
            <w:shd w:fill="F8F9FA" w:val="clear"/>
          </w:tcPr>
          <w:p>
            <w:r>
              <w:rPr>
                <w:rFonts w:ascii="Times New Roman" w:hAnsi="Times New Roman"/>
                <w:sz w:val="19"/>
              </w:rPr>
              <w:t>Risk Loading</w:t>
            </w:r>
          </w:p>
        </w:tc>
        <w:tc>
          <w:tcPr>
            <w:tcW w:type="dxa" w:w="3135"/>
            <w:shd w:fill="F8F9FA" w:val="clear"/>
          </w:tcPr>
          <w:p>
            <w:r>
              <w:rPr>
                <w:rFonts w:ascii="Times New Roman" w:hAnsi="Times New Roman"/>
                <w:sz w:val="19"/>
              </w:rPr>
              <w:t>1.5 x (CVaR95 - EL)</w:t>
            </w:r>
          </w:p>
        </w:tc>
        <w:tc>
          <w:tcPr>
            <w:tcW w:type="dxa" w:w="3135"/>
            <w:shd w:fill="F8F9FA" w:val="clear"/>
          </w:tcPr>
          <w:p>
            <w:r>
              <w:rPr>
                <w:rFonts w:ascii="Times New Roman" w:hAnsi="Times New Roman"/>
                <w:sz w:val="19"/>
              </w:rPr>
              <w:t>$966.0M</w:t>
            </w:r>
          </w:p>
        </w:tc>
      </w:tr>
      <w:tr>
        <w:tc>
          <w:tcPr>
            <w:tcW w:type="dxa" w:w="3135"/>
          </w:tcPr>
          <w:p>
            <w:r>
              <w:rPr>
                <w:rFonts w:ascii="Times New Roman" w:hAnsi="Times New Roman"/>
                <w:sz w:val="19"/>
              </w:rPr>
              <w:t>Capital Charge</w:t>
            </w:r>
          </w:p>
        </w:tc>
        <w:tc>
          <w:tcPr>
            <w:tcW w:type="dxa" w:w="3135"/>
          </w:tcPr>
          <w:p>
            <w:r>
              <w:rPr>
                <w:rFonts w:ascii="Times New Roman" w:hAnsi="Times New Roman"/>
                <w:sz w:val="19"/>
              </w:rPr>
              <w:t>4% x (VaR99 - EL)</w:t>
            </w:r>
          </w:p>
        </w:tc>
        <w:tc>
          <w:tcPr>
            <w:tcW w:type="dxa" w:w="3135"/>
          </w:tcPr>
          <w:p>
            <w:r>
              <w:rPr>
                <w:rFonts w:ascii="Times New Roman" w:hAnsi="Times New Roman"/>
                <w:sz w:val="19"/>
              </w:rPr>
              <w:t>$32.0M</w:t>
            </w:r>
          </w:p>
        </w:tc>
      </w:tr>
      <w:tr>
        <w:tc>
          <w:tcPr>
            <w:tcW w:type="dxa" w:w="3135"/>
            <w:shd w:fill="F8F9FA" w:val="clear"/>
          </w:tcPr>
          <w:p>
            <w:r>
              <w:rPr>
                <w:rFonts w:ascii="Times New Roman" w:hAnsi="Times New Roman"/>
                <w:sz w:val="19"/>
              </w:rPr>
              <w:t>Expense Loading</w:t>
            </w:r>
          </w:p>
        </w:tc>
        <w:tc>
          <w:tcPr>
            <w:tcW w:type="dxa" w:w="3135"/>
            <w:shd w:fill="F8F9FA" w:val="clear"/>
          </w:tcPr>
          <w:p>
            <w:r>
              <w:rPr>
                <w:rFonts w:ascii="Times New Roman" w:hAnsi="Times New Roman"/>
                <w:sz w:val="19"/>
              </w:rPr>
              <w:t>15% x EL</w:t>
            </w:r>
          </w:p>
        </w:tc>
        <w:tc>
          <w:tcPr>
            <w:tcW w:type="dxa" w:w="3135"/>
            <w:shd w:fill="F8F9FA" w:val="clear"/>
          </w:tcPr>
          <w:p>
            <w:r>
              <w:rPr>
                <w:rFonts w:ascii="Times New Roman" w:hAnsi="Times New Roman"/>
                <w:sz w:val="19"/>
              </w:rPr>
              <w:t>$138.2M</w:t>
            </w:r>
          </w:p>
        </w:tc>
      </w:tr>
      <w:tr>
        <w:tc>
          <w:tcPr>
            <w:tcW w:type="dxa" w:w="3135"/>
          </w:tcPr>
          <w:p>
            <w:r>
              <w:rPr>
                <w:rFonts w:ascii="Times New Roman" w:hAnsi="Times New Roman"/>
                <w:sz w:val="19"/>
              </w:rPr>
              <w:t>TOTAL PREMIUM</w:t>
            </w:r>
          </w:p>
        </w:tc>
        <w:tc>
          <w:tcPr>
            <w:tcW w:type="dxa" w:w="3135"/>
          </w:tcPr>
          <w:p>
            <w:r>
              <w:rPr>
                <w:rFonts w:ascii="Times New Roman" w:hAnsi="Times New Roman"/>
                <w:sz w:val="19"/>
              </w:rPr>
            </w:r>
          </w:p>
        </w:tc>
        <w:tc>
          <w:tcPr>
            <w:tcW w:type="dxa" w:w="3135"/>
          </w:tcPr>
          <w:p>
            <w:r>
              <w:rPr>
                <w:rFonts w:ascii="Times New Roman" w:hAnsi="Times New Roman"/>
                <w:sz w:val="19"/>
              </w:rPr>
              <w:t>$2,058M / year</w:t>
            </w:r>
          </w:p>
        </w:tc>
      </w:tr>
      <w:tr>
        <w:tc>
          <w:tcPr>
            <w:tcW w:type="dxa" w:w="3135"/>
            <w:shd w:fill="F8F9FA" w:val="clear"/>
          </w:tcPr>
          <w:p>
            <w:r>
              <w:rPr>
                <w:rFonts w:ascii="Times New Roman" w:hAnsi="Times New Roman"/>
                <w:sz w:val="19"/>
              </w:rPr>
              <w:t>Per-policy premium</w:t>
            </w:r>
          </w:p>
        </w:tc>
        <w:tc>
          <w:tcPr>
            <w:tcW w:type="dxa" w:w="3135"/>
            <w:shd w:fill="F8F9FA" w:val="clear"/>
          </w:tcPr>
          <w:p>
            <w:r>
              <w:rPr>
                <w:rFonts w:ascii="Times New Roman" w:hAnsi="Times New Roman"/>
                <w:sz w:val="19"/>
              </w:rPr>
              <w:t>Total / 500 policies</w:t>
            </w:r>
          </w:p>
        </w:tc>
        <w:tc>
          <w:tcPr>
            <w:tcW w:type="dxa" w:w="3135"/>
            <w:shd w:fill="F8F9FA" w:val="clear"/>
          </w:tcPr>
          <w:p>
            <w:r>
              <w:rPr>
                <w:rFonts w:ascii="Times New Roman" w:hAnsi="Times New Roman"/>
                <w:sz w:val="19"/>
              </w:rPr>
              <w:t>$4,115,098 / year</w:t>
            </w:r>
          </w:p>
        </w:tc>
      </w:tr>
      <w:tr>
        <w:tc>
          <w:tcPr>
            <w:tcW w:type="dxa" w:w="3135"/>
          </w:tcPr>
          <w:p>
            <w:r>
              <w:rPr>
                <w:rFonts w:ascii="Times New Roman" w:hAnsi="Times New Roman"/>
                <w:sz w:val="19"/>
              </w:rPr>
              <w:t>Benchmark premium</w:t>
            </w:r>
          </w:p>
        </w:tc>
        <w:tc>
          <w:tcPr>
            <w:tcW w:type="dxa" w:w="3135"/>
          </w:tcPr>
          <w:p>
            <w:r>
              <w:rPr>
                <w:rFonts w:ascii="Times New Roman" w:hAnsi="Times New Roman"/>
                <w:sz w:val="19"/>
              </w:rPr>
              <w:t>0.5% x $50M x 500 (assumption)</w:t>
            </w:r>
          </w:p>
        </w:tc>
        <w:tc>
          <w:tcPr>
            <w:tcW w:type="dxa" w:w="3135"/>
          </w:tcPr>
          <w:p>
            <w:r>
              <w:rPr>
                <w:rFonts w:ascii="Times New Roman" w:hAnsi="Times New Roman"/>
                <w:sz w:val="19"/>
              </w:rPr>
              <w:t>$125.0M / year</w:t>
            </w:r>
          </w:p>
        </w:tc>
      </w:tr>
      <w:tr>
        <w:tc>
          <w:tcPr>
            <w:tcW w:type="dxa" w:w="3135"/>
            <w:shd w:fill="F8F9FA" w:val="clear"/>
          </w:tcPr>
          <w:p>
            <w:r>
              <w:rPr>
                <w:rFonts w:ascii="Times New Roman" w:hAnsi="Times New Roman"/>
                <w:sz w:val="19"/>
              </w:rPr>
              <w:t>CASCADE FACTOR</w:t>
            </w:r>
          </w:p>
        </w:tc>
        <w:tc>
          <w:tcPr>
            <w:tcW w:type="dxa" w:w="3135"/>
            <w:shd w:fill="F8F9FA" w:val="clear"/>
          </w:tcPr>
          <w:p>
            <w:r>
              <w:rPr>
                <w:rFonts w:ascii="Times New Roman" w:hAnsi="Times New Roman"/>
                <w:sz w:val="19"/>
              </w:rPr>
              <w:t>Cascade / Benchmark</w:t>
            </w:r>
          </w:p>
        </w:tc>
        <w:tc>
          <w:tcPr>
            <w:tcW w:type="dxa" w:w="3135"/>
            <w:shd w:fill="F8F9FA" w:val="clear"/>
          </w:tcPr>
          <w:p>
            <w:r>
              <w:rPr>
                <w:rFonts w:ascii="Times New Roman" w:hAnsi="Times New Roman"/>
                <w:sz w:val="19"/>
              </w:rPr>
              <w:t>16.5x</w:t>
            </w:r>
          </w:p>
        </w:tc>
      </w:tr>
    </w:tbl>
    <w:p>
      <w:pPr>
        <w:spacing w:after="80"/>
      </w:pPr>
      <w:r>
        <w:rPr>
          <w:rFonts w:ascii="Times New Roman" w:hAnsi="Times New Roman"/>
          <w:i/>
          <w:color w:val="555555"/>
          <w:sz w:val="18"/>
        </w:rPr>
        <w:t>Time alignment: the premium is computed on the worst-year sample, and in 100% of the 1,000 paths the worst year is the final step, so the headline is the fair annual premium at the end of the horizon, not today's. The same model gives expected losses of $22.3M at t = 0 (0.18x the static benchmark) and $111.0M at t = 25 (0.89x). The 16.5x therefore measures how far a static benchmark falls behind a growing cascade by year 50; it is not a claim that current premiums are 16.5x too low today.</w:t>
      </w:r>
    </w:p>
    <w:p>
      <w:pPr>
        <w:spacing w:before="240" w:after="120"/>
      </w:pPr>
      <w:r>
        <w:rPr>
          <w:rFonts w:ascii="Times New Roman" w:hAnsi="Times New Roman"/>
          <w:b/>
          <w:color w:val="0F1A30"/>
          <w:sz w:val="24"/>
        </w:rPr>
        <w:t>3.4 Key Findings</w:t>
      </w:r>
    </w:p>
    <w:p>
      <w:pPr>
        <w:spacing w:after="120"/>
        <w:jc w:val="both"/>
      </w:pPr>
      <w:r>
        <w:rPr>
          <w:rFonts w:ascii="Times New Roman" w:hAnsi="Times New Roman"/>
          <w:sz w:val="21"/>
        </w:rPr>
        <w:t>1. Debris grows 41x over 50 years (36,500 to 1.51M) in the baseline path. The driver is the N^2 feedback in debris-debris collision rates, which produces faster-than-exponential (hyperbolic) growth and a finite-time singularity in the mean-field backbone at t* = 61 years. The 50-year horizon sits at 82% of t*, so late-horizon levels are sensitive to the yield scale and decay rate. Liou and Johnson (2008) reached a qualitatively similar conclusion about the instability of the present LEO population.</w:t>
      </w:r>
    </w:p>
    <w:p>
      <w:pPr>
        <w:spacing w:after="120"/>
        <w:jc w:val="both"/>
      </w:pPr>
      <w:r>
        <w:rPr>
          <w:rFonts w:ascii="Times New Roman" w:hAnsi="Times New Roman"/>
          <w:sz w:val="21"/>
        </w:rPr>
        <w:t>2. The premium gap grows to 16.5x over the horizon. At year 50 the cascade-adjusted premium ($2,058M) is 16.5x a 0.5%-of-hull in-orbit failure benchmark ($125M), a gap of $1,933M per year; on expected loss alone the ratio is 7.4x. The benchmark is all-peril while the model prices debris collisions only, so the ratio is conservative on coverage. The same model gives $22.3M of expected loss at year 0 (0.18x the benchmark), so the gap measures how a static premium falls behind a growing cascade rather than how mispriced today's market is. Because the year-50 gap exceeds the roughly $1.2B annual global premium base, it should be read as a solvency signal for a concentrated 500-satellite book in one shell, not as a market-wide premium forecast.</w:t>
      </w:r>
    </w:p>
    <w:p>
      <w:pPr>
        <w:spacing w:after="120"/>
        <w:jc w:val="both"/>
      </w:pPr>
      <w:r>
        <w:rPr>
          <w:rFonts w:ascii="Times New Roman" w:hAnsi="Times New Roman"/>
          <w:sz w:val="21"/>
        </w:rPr>
        <w:t>3. Tail risk is substantial. CVaR(95%) ($1,565M) exceeds expected loss ($921M) by 70%. The Generalized Pareto fit gives xi = -0.032, a bounded tail, with an exceedance ratio zeta = 0.10. With zeta included, EVT VaR(95%) is $1,375M against an empirical $1,365M (+0.7%), and EVT VaR(99%) is $1,677M against $1,721M (-2.5%). EVT therefore corroborates the empirical tail rather than extending it; an earlier version that omitted zeta reported $1,803M and a spurious 32% gap.</w:t>
      </w:r>
    </w:p>
    <w:p>
      <w:pPr>
        <w:spacing w:after="120"/>
        <w:jc w:val="both"/>
      </w:pPr>
      <w:r>
        <w:rPr>
          <w:rFonts w:ascii="Times New Roman" w:hAnsi="Times New Roman"/>
          <w:sz w:val="21"/>
        </w:rPr>
        <w:t>4. Risk loading dominates the premium. The CVaR-based risk loading ($966M) exceeds the expected loss ($921M). This reflects the heavy-tailed nature of cascade losses, a direct consequence of the quadratic feedback mechanism.</w:t>
      </w:r>
    </w:p>
    <w:p>
      <w:pPr>
        <w:spacing w:after="120"/>
        <w:jc w:val="both"/>
      </w:pPr>
      <w:r>
        <w:rPr>
          <w:rFonts w:ascii="Times New Roman" w:hAnsi="Times New Roman"/>
          <w:sz w:val="21"/>
        </w:rPr>
        <w:t>5. EVT confirms a bounded tail. The GPD shape parameter xi = -0.032 indicates a Type III (bounded) tail, and the corrected EVT quantiles sit within 3% of the empirical ones. The tail is severe in economic terms (CVaR 70% above the mean) but it is not heavy in the EVT sense, and the premium therefore relies on empirical CVaR and VaR rather than on an extrapolated tail.</w:t>
      </w:r>
    </w:p>
    <w:p>
      <w:pPr>
        <w:spacing w:before="360" w:after="160"/>
      </w:pPr>
      <w:r>
        <w:rPr>
          <w:rFonts w:ascii="Times New Roman" w:hAnsi="Times New Roman"/>
          <w:b/>
          <w:color w:val="0F1A30"/>
          <w:sz w:val="24"/>
        </w:rPr>
        <w:t>4. Discussion</w:t>
      </w:r>
    </w:p>
    <w:p>
      <w:pPr>
        <w:spacing w:before="240" w:after="120"/>
      </w:pPr>
      <w:r>
        <w:rPr>
          <w:rFonts w:ascii="Times New Roman" w:hAnsi="Times New Roman"/>
          <w:b/>
          <w:color w:val="0F1A30"/>
          <w:sz w:val="24"/>
        </w:rPr>
        <w:t>4.1 Systemic Risk to the Insurance Market</w:t>
      </w:r>
    </w:p>
    <w:p>
      <w:pPr>
        <w:spacing w:after="120"/>
        <w:jc w:val="both"/>
      </w:pPr>
      <w:r>
        <w:rPr>
          <w:rFonts w:ascii="Times New Roman" w:hAnsi="Times New Roman"/>
          <w:sz w:val="21"/>
        </w:rPr>
        <w:t>The $1,933M annual gap between the benchmark and cascade-adjusted pricing is a solvency signal. When debris density is high, all satellites face elevated risk at the same time, so claims would be correlated across a whole portfolio. A cascade event at benchmark premium levels could exceed insurer reserves on a concentrated book and propagate losses to reinsurers. The historical record gives three calibration points: Fengyun-1C in 2007, Iridium-Cosmos in 2009, and Kosmos 1408 in 2021 - three events spanning 14 years, each creating thousands of catalogued fragments.</w:t>
      </w:r>
    </w:p>
    <w:p>
      <w:pPr>
        <w:spacing w:before="240" w:after="120"/>
      </w:pPr>
      <w:r>
        <w:rPr>
          <w:rFonts w:ascii="Times New Roman" w:hAnsi="Times New Roman"/>
          <w:b/>
          <w:color w:val="0F1A30"/>
          <w:sz w:val="24"/>
        </w:rPr>
        <w:t>4.2 Implications for International Space Governance</w:t>
      </w:r>
    </w:p>
    <w:p>
      <w:pPr>
        <w:spacing w:after="120"/>
        <w:jc w:val="both"/>
      </w:pPr>
      <w:r>
        <w:rPr>
          <w:rFonts w:ascii="Times New Roman" w:hAnsi="Times New Roman"/>
          <w:sz w:val="21"/>
        </w:rPr>
        <w:t>Right now, the UN Space 2030 Agenda and IADC guidelines set norms for sustainable space operations. But there is no enforcement behind them. This framework proposes an economic instrument to go along with regulatory approaches: risk-adjusted insurance pricing that internalizes the externality of debris generation.</w:t>
      </w:r>
    </w:p>
    <w:p>
      <w:pPr>
        <w:spacing w:after="120"/>
        <w:jc w:val="both"/>
      </w:pPr>
      <w:r>
        <w:rPr>
          <w:rFonts w:ascii="Times New Roman" w:hAnsi="Times New Roman"/>
          <w:sz w:val="21"/>
        </w:rPr>
        <w:t>Under cascade-aware pricing, operators who place satellites in less congested shells or invest in end-of-life deorbiting would get lower premiums. This gives operators a market-based incentive for sustainability without requiring direct regulation. Operators who contribute to orbital congestion would face premiums that reflect the systemic risk they impose on all space users.</w:t>
      </w:r>
    </w:p>
    <w:p>
      <w:pPr>
        <w:spacing w:before="240" w:after="120"/>
      </w:pPr>
      <w:r>
        <w:rPr>
          <w:rFonts w:ascii="Times New Roman" w:hAnsi="Times New Roman"/>
          <w:b/>
          <w:color w:val="0F1A30"/>
          <w:sz w:val="24"/>
        </w:rPr>
        <w:t>4.3 Policy Recommendations</w:t>
      </w:r>
    </w:p>
    <w:p>
      <w:pPr>
        <w:spacing w:after="120"/>
        <w:jc w:val="both"/>
      </w:pPr>
      <w:r>
        <w:rPr>
          <w:rFonts w:ascii="Times New Roman" w:hAnsi="Times New Roman"/>
          <w:sz w:val="21"/>
        </w:rPr>
        <w:t>1. Insurance regulators (e.g., EIOPA, NAIC) should require space insurers to disclose whether cascade risk is incorporated into pricing models.</w:t>
      </w:r>
    </w:p>
    <w:p>
      <w:pPr>
        <w:spacing w:after="120"/>
        <w:jc w:val="both"/>
      </w:pPr>
      <w:r>
        <w:rPr>
          <w:rFonts w:ascii="Times New Roman" w:hAnsi="Times New Roman"/>
          <w:sz w:val="21"/>
        </w:rPr>
        <w:t>2. The IADC and UNCOPUOS should commission independent studies on the macroeconomic implications of underpriced cascade risk.</w:t>
      </w:r>
    </w:p>
    <w:p>
      <w:pPr>
        <w:spacing w:after="120"/>
        <w:jc w:val="both"/>
      </w:pPr>
      <w:r>
        <w:rPr>
          <w:rFonts w:ascii="Times New Roman" w:hAnsi="Times New Roman"/>
          <w:sz w:val="21"/>
        </w:rPr>
        <w:t>3. Space agencies should explore premium differentiation as a condition for launch licensing -- satellites in congested shells pay higher insurance, which in funds debris mitigation.</w:t>
      </w:r>
    </w:p>
    <w:p>
      <w:pPr>
        <w:spacing w:after="120"/>
        <w:jc w:val="both"/>
      </w:pPr>
      <w:r>
        <w:rPr>
          <w:rFonts w:ascii="Times New Roman" w:hAnsi="Times New Roman"/>
          <w:sz w:val="21"/>
        </w:rPr>
        <w:t>4. Reinsurance markets should develop cascade-risk-specific instruments (e.g., catastrophe bonds tied to debris density thresholds) to transfer systemic risk off insurer balance sheets.</w:t>
      </w:r>
    </w:p>
    <w:p>
      <w:pPr>
        <w:spacing w:before="240" w:after="120"/>
      </w:pPr>
      <w:r>
        <w:rPr>
          <w:rFonts w:ascii="Times New Roman" w:hAnsi="Times New Roman"/>
          <w:b/>
          <w:color w:val="0F1A30"/>
          <w:sz w:val="24"/>
        </w:rPr>
        <w:t>4.4 Limitations</w:t>
      </w:r>
    </w:p>
    <w:p>
      <w:pPr>
        <w:spacing w:after="120"/>
        <w:jc w:val="both"/>
      </w:pPr>
      <w:r>
        <w:rPr>
          <w:rFonts w:ascii="Times New Roman" w:hAnsi="Times New Roman"/>
          <w:sz w:val="21"/>
        </w:rPr>
        <w:t>Several limitations warrant discussion. First, the single-shell approximation (800 km only) does not capture the full 3D orbital environment with inclination and eccentricity distributions, and it assigns the entire global &gt;10 cm catalogue (36,500 objects) to the 700-900 km shell; a sensitivity check over N0 = 8,000 to 36,500 moves expected loss from $114M to $925M. Second, fragment physics are simplified: the log-normal yield is an event-anchored prior, not a formal calibration, and collision mass and energy do not enter the sampler. Each debris-debris event's ~3 fragments are added to the &gt;10 cm count and both channels share a 10 m2 satellite cross-section; excluding the DD fragments lowers expected loss to $462.6M and a 1 m2 DD section to $484.1M, so the headline is an upper bound in this dimension. Third, the mean-field backbone has a finite-time singularity at t* = 61 years, only 11 years beyond the horizon, and small parameter changes move t* between roughly 27 and 136 years. Fourth, the loss bridge uses expected claim counts rather than binomial sampling; a binomial check raises expected loss by about 35% ($1,243M vs $921M) and VaR(95%) by about 28%, so the headline understates rather than overstates claim-count noise. Fifth, the 0.5% benchmark is an assumption: at 0.3% the multiplier is 27.5x and at 1.0% it is 8.2x. Sixth, the model does not include active debris removal. Seventh, the satellite population is static - mega-constellation deployments and end-of-life deorbiting are not dynamically modeled. Eighth, there is no cross-altitude debris migration.</w:t>
      </w:r>
    </w:p>
    <w:p>
      <w:pPr>
        <w:spacing w:before="240" w:after="120"/>
      </w:pPr>
      <w:r>
        <w:rPr>
          <w:rFonts w:ascii="Times New Roman" w:hAnsi="Times New Roman"/>
          <w:b/>
          <w:color w:val="0F1A30"/>
          <w:sz w:val="24"/>
        </w:rPr>
        <w:t>4.5 Future Work</w:t>
      </w:r>
    </w:p>
    <w:p>
      <w:pPr>
        <w:spacing w:after="120"/>
        <w:jc w:val="both"/>
      </w:pPr>
      <w:r>
        <w:rPr>
          <w:rFonts w:ascii="Times New Roman" w:hAnsi="Times New Roman"/>
          <w:sz w:val="21"/>
        </w:rPr>
        <w:t>Future research directions include: (1) multi-shell model with cross-altitude migration; (2) NORAD TLE data integration for empirical debris tracking; (3) dynamic constellation deployment modeling; (4) ADR scenario analysis and premium reduction quantification; (5) reinsurance layer pricing (excess-of-loss, stop-loss, catastrophe bonds); (6) Sobol global sensitivity analysis to identify the most impactful parameters.</w:t>
      </w:r>
    </w:p>
    <w:p>
      <w:pPr>
        <w:spacing w:before="360" w:after="160"/>
      </w:pPr>
      <w:r>
        <w:rPr>
          <w:rFonts w:ascii="Times New Roman" w:hAnsi="Times New Roman"/>
          <w:b/>
          <w:color w:val="0F1A30"/>
          <w:sz w:val="24"/>
        </w:rPr>
        <w:t>5. Conclusion</w:t>
      </w:r>
    </w:p>
    <w:p>
      <w:pPr>
        <w:spacing w:after="120"/>
        <w:jc w:val="both"/>
      </w:pPr>
      <w:r>
        <w:rPr>
          <w:rFonts w:ascii="Times New Roman" w:hAnsi="Times New Roman"/>
          <w:sz w:val="21"/>
        </w:rPr>
        <w:t>This framework shows that incorporating physics-based cascade dynamics into insurance pricing produces premiums 16.5x a 0.5%-of-hull in-orbit failure benchmark for a 500-satellite portfolio in one shell. The main methodological point is that the cascade rate is not an adjustable knob: debris growth is driven by collision rates derived from orbital mechanics, with event-anchored fragment yields and an asymmetric treatment of debris-satellite versus debris-debris collisions. The headline is conditional on single-shell accounting, expected claim counts, and proximity to a finite-time singularity at t* = 61 years; each condition is quantified in the limitations.</w:t>
      </w:r>
    </w:p>
    <w:p>
      <w:pPr>
        <w:spacing w:after="120"/>
        <w:jc w:val="both"/>
      </w:pPr>
      <w:r>
        <w:rPr>
          <w:rFonts w:ascii="Times New Roman" w:hAnsi="Times New Roman"/>
          <w:sz w:val="21"/>
        </w:rPr>
        <w:t>The $1,933M annual pricing gap is a solvency concern for concentrated books, but it is also an opportunity. Risk-adjusted pricing can work as an economic instrument for orbital sustainability, complementing the regulatory framework of the UN Space 2030 Agenda. By aligning private insurance costs with systemic debris risk, this framework offers a market-based pathway toward long-term sustainability of outer space activities.</w:t>
      </w:r>
    </w:p>
    <w:p>
      <w:pPr>
        <w:spacing w:before="360" w:after="160"/>
      </w:pPr>
      <w:r>
        <w:rPr>
          <w:rFonts w:ascii="Times New Roman" w:hAnsi="Times New Roman"/>
          <w:b/>
          <w:color w:val="0F1A30"/>
          <w:sz w:val="24"/>
        </w:rPr>
        <w:t>References</w:t>
      </w:r>
    </w:p>
    <w:p>
      <w:pPr>
        <w:spacing w:after="60"/>
        <w:ind w:left="400" w:hanging="400"/>
      </w:pPr>
      <w:r>
        <w:rPr>
          <w:rFonts w:ascii="Times New Roman" w:hAnsi="Times New Roman"/>
          <w:sz w:val="18"/>
        </w:rPr>
        <w:t>[1] Kessler, D.J. and Cour-Palais, B.G. (1978). "Collision Frequency of Artificial Satellites: The Creation of a Debris Belt." J. Geophys. Res., 83(A6), 2637-2646.</w:t>
      </w:r>
    </w:p>
    <w:p>
      <w:pPr>
        <w:spacing w:after="60"/>
        <w:ind w:left="400" w:hanging="400"/>
      </w:pPr>
      <w:r>
        <w:rPr>
          <w:rFonts w:ascii="Times New Roman" w:hAnsi="Times New Roman"/>
          <w:sz w:val="18"/>
        </w:rPr>
        <w:t>[2] Kessler, D.J. (1981). "Derivation of the collision probability between orbiting objects." Icarus, 48(1), 39-48.</w:t>
      </w:r>
    </w:p>
    <w:p>
      <w:pPr>
        <w:spacing w:after="60"/>
        <w:ind w:left="400" w:hanging="400"/>
      </w:pPr>
      <w:r>
        <w:rPr>
          <w:rFonts w:ascii="Times New Roman" w:hAnsi="Times New Roman"/>
          <w:sz w:val="18"/>
        </w:rPr>
        <w:t>[3] Liou, J.-C. and Johnson, N.L. (2008). "Instability of the present LEO satellite populations." Advances in Space Research, 41(7), 1046-1053.</w:t>
      </w:r>
    </w:p>
    <w:p>
      <w:pPr>
        <w:spacing w:after="60"/>
        <w:ind w:left="400" w:hanging="400"/>
      </w:pPr>
      <w:r>
        <w:rPr>
          <w:rFonts w:ascii="Times New Roman" w:hAnsi="Times New Roman"/>
          <w:sz w:val="18"/>
        </w:rPr>
        <w:t>[4] Johnson, N.L. et al. (2008). "History of On-Orbit Satellite Fragmentations, 14th Edition." NASA Orbital Debris Program Office.</w:t>
      </w:r>
    </w:p>
    <w:p>
      <w:pPr>
        <w:spacing w:after="60"/>
        <w:ind w:left="400" w:hanging="400"/>
      </w:pPr>
      <w:r>
        <w:rPr>
          <w:rFonts w:ascii="Times New Roman" w:hAnsi="Times New Roman"/>
          <w:sz w:val="18"/>
        </w:rPr>
        <w:t>[5] Freeman, R. et al. (2021). "An actuarial modifier for underwriting OOS satellite insurance." J. Space Operations.</w:t>
      </w:r>
    </w:p>
    <w:p>
      <w:pPr>
        <w:spacing w:after="60"/>
        <w:ind w:left="400" w:hanging="400"/>
      </w:pPr>
      <w:r>
        <w:rPr>
          <w:rFonts w:ascii="Times New Roman" w:hAnsi="Times New Roman"/>
          <w:sz w:val="18"/>
        </w:rPr>
        <w:t>[6] McNeil, A.J., Frey, R. and Embrechts, P. (2015). Quantitative Risk Management. 2nd ed. Princeton University Press.</w:t>
      </w:r>
    </w:p>
    <w:p>
      <w:pPr>
        <w:spacing w:after="60"/>
        <w:ind w:left="400" w:hanging="400"/>
      </w:pPr>
      <w:r>
        <w:rPr>
          <w:rFonts w:ascii="Times New Roman" w:hAnsi="Times New Roman"/>
          <w:sz w:val="18"/>
        </w:rPr>
        <w:t>[7] European Commission (2009). "Solvency II Directive." 2009/138/EC.</w:t>
      </w:r>
    </w:p>
    <w:p>
      <w:pPr>
        <w:spacing w:after="60"/>
        <w:ind w:left="400" w:hanging="400"/>
      </w:pPr>
      <w:r>
        <w:rPr>
          <w:rFonts w:ascii="Times New Roman" w:hAnsi="Times New Roman"/>
          <w:sz w:val="18"/>
        </w:rPr>
        <w:t>[8] IADC (2007). "Space Debris Mitigation Guidelines." Inter-Agency Space Debris Coordination Committee.</w:t>
      </w:r>
    </w:p>
    <w:p>
      <w:pPr>
        <w:spacing w:after="60"/>
        <w:ind w:left="400" w:hanging="400"/>
      </w:pPr>
      <w:r>
        <w:rPr>
          <w:rFonts w:ascii="Times New Roman" w:hAnsi="Times New Roman"/>
          <w:sz w:val="18"/>
        </w:rPr>
        <w:t>[9] UNCOPUOS (2019). "Space 2030 Agenda." United Nations Committee on the Peaceful Uses of Outer Space.</w:t>
      </w:r>
    </w:p>
    <w:p>
      <w:pPr>
        <w:spacing w:after="60"/>
        <w:ind w:left="400" w:hanging="400"/>
      </w:pPr>
      <w:r>
        <w:rPr>
          <w:rFonts w:ascii="Times New Roman" w:hAnsi="Times New Roman"/>
          <w:sz w:val="18"/>
        </w:rPr>
        <w:t>[10] World Economic Forum / Centre for Space Futures (2026). "Clear Orbit, Secure Future: A Call to Action on Space Debris."</w:t>
      </w:r>
    </w:p>
    <w:p>
      <w:pPr>
        <w:spacing w:after="60"/>
        <w:ind w:left="400" w:hanging="400"/>
      </w:pPr>
      <w:r>
        <w:rPr>
          <w:rFonts w:ascii="Times New Roman" w:hAnsi="Times New Roman"/>
          <w:sz w:val="18"/>
        </w:rPr>
        <w:t>[11] ESA Space Environment Report (2025). European Space Agency.</w:t>
      </w:r>
    </w:p>
    <w:p>
      <w:pPr>
        <w:spacing w:after="60"/>
        <w:ind w:left="400" w:hanging="400"/>
      </w:pPr>
      <w:r>
        <w:rPr>
          <w:rFonts w:ascii="Times New Roman" w:hAnsi="Times New Roman"/>
          <w:sz w:val="18"/>
        </w:rPr>
        <w:t>[12] Saltelli, A. et al. (2010). "Variance based sensitivity analysis." Comput. Phys. Commun., 181(2), 259-270.</w:t>
      </w:r>
    </w:p>
    <w:p>
      <w:pPr>
        <w:spacing w:before="280" w:after="160"/>
      </w:pPr>
      <w:r>
        <w:rPr>
          <w:color w:val="CCCCCC"/>
          <w:sz w:val="12"/>
        </w:rPr>
        <w:t>────────────────────────────────────────────────────────────────────────────────</w:t>
      </w:r>
    </w:p>
    <w:p>
      <w:pPr>
        <w:spacing w:after="120"/>
      </w:pPr>
      <w:r>
        <w:rPr>
          <w:rFonts w:ascii="Times New Roman" w:hAnsi="Times New Roman"/>
          <w:b/>
          <w:sz w:val="18"/>
        </w:rPr>
        <w:t xml:space="preserve">Data and Code Availability: </w:t>
      </w:r>
      <w:r>
        <w:rPr>
          <w:rFonts w:ascii="Times New Roman" w:hAnsi="Times New Roman"/>
          <w:sz w:val="18"/>
        </w:rPr>
        <w:t>Code is released under the Apache License 2.0; the manuscript text and figures are released under CC BY 4.0. Source code (Python package cascade_risk/), configuration files, and simulation output data are available from the author upon request.</w:t>
      </w:r>
    </w:p>
    <w:p>
      <w:pPr>
        <w:spacing w:before="120"/>
        <w:jc w:val="center"/>
      </w:pPr>
      <w:r>
        <w:rPr>
          <w:rFonts w:ascii="Times New Roman" w:hAnsi="Times New Roman"/>
          <w:i/>
          <w:sz w:val="19"/>
        </w:rPr>
        <w:t>Correspondence: ling.xi.lu@gmail.com</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