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上海市促进农业科技进步若干规定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（2007年10月10日上海市第十二届人民代表大会常务委员会第三十九次会议通过　2024年11月28日上海市第十六届人民代表大会常务委员会第十七次会议修订）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促进农业科技进步，推进乡村全面振兴和农业农村现代化，根据《中华人民共和国农业法》《中华人民共和国科学技术进步法》《中华人民共和国促进科技成果转化法》等法律、行政法规，结合本市实际，制定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本市行政区域内的农业科学研究和技术开发、农业科技成果转化、农业技术推广和培训及其相关管理活动，适用本规定。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按照农业科技发展相关规划要求，深化农业科技体制机制改革，重点聚焦生物育种、生物制造、现代设施农业等领域，促进农业产业链、创新链、资金链、人才链融合发展，提升农业科技服务农业强国建设的能力，推动上海率先实现农业农村现代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市、区人民政府应当把农业科技进步纳入国民经济和社会发展规划，支持保障农业科技进步，建立和完善农业科技的管理机制和创新体系、服务体系，统筹协调农业科技进步工作中的重要事项。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乡镇人民政府应当采取措施，促进农业技术的推广和应用。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农业农村部门负责本行政区域内农业科技进步活动的协调推进、服务保障和监督管理。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科技、发展改革、财政、教育、人才、人力资源社会保障、经济信息化、地方金融、规划资源、市场监管、知识产权、数据等部门按照各自职责，做好农业科技进步相关工作。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强化企业农业科技创新主体地位，构建产学研用紧密结合的协同创新格局。鼓励符合条件的涉农科技型企业申报高新技术企业、专精特新中小企业。农业农村、科技、经济信息化等部门应当加强涉农科技型企业培育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本市高等学校、科研机构、农业技术推广机构、农业生产经营组织和其他相关企业根据国家和本市农业发展导向，结合各自优势和特点，开展农业科技创新。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本市支持组建农业科技创新联合体，推动资源、平台、信息等开放共享，协同推进农业科技研发与成果转化。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本市推动农业科研院所改革，探索建立现代农业科研院所制度。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市农业农村、发展改革、科技、经济信息化、数据、财政等部门应当支持以新型研发机构模式建设现代种业创新平台、智慧农业技术创新平台。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市农业农村、科技、财政等部门应当推动农业领域重点实验室、技术创新中心的建设。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相关区人民政府可以结合本区农业科技优势和资源禀赋，建设农业科技产业集聚区，提升农业科技创新策源能级。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本市建立多层次、多元化的农业科技资金投入体系，完善农业科技领域基础研究稳定支持机制，健全农业科技多元投入机制。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农业农村、科技等部门应当安排资金用于农业技术攻关、成果转化、技术推广等农业科技创新项目。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高等学校、科研机构、农业技术推广机构、农业生产经营组织和其他相关企业申报国家科技重大专项、国家重要科技计划项目且获得立项的，按照国家和本市有关规定，给予相应的支持。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农业农村部门应当会同市科技、教育等部门制定符合国家发展战略和科技创新规律的农业科技计划，统筹科技创新项目资源，推动科研范式和管理模式优化，促进农业科技领域基础研究与应用研究、成果转化融通发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本市建立以产业发展需求为导向的农业科技创新项目立项、过程管理、协同创新和绩效评价等机制，具体办法由市农业农村部门会同市科技、财政等部门制定。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市农业农村、科技部门在重大农业科技创新项目选题、评审、评价等环节，应当听取专家、企业家等的意见。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农业农村部门应当会同市科技、教育、人力资源社会保障、财政等部门，建立以创新绩效为核心、年度评价与中长期评价相结合的评价机制，对科研机构、高等学校的农业科技创新工作进行评价，并按照有关规定加强评价结果应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评价内容主要包括关键核心技术、产品研发的先进性和成熟度、成果转化与技术应用推广效果、学科交叉融合发展水平、对农业科技进步的带动作用等。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市农业农村部门应当会同市人才、人力资源社会保障、科技、教育等部门建立以创新能力、质量、实效、贡献为导向的农业科技人才评价机制。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推动高等学校、科研机构、农业技术推广机构等对从事不同类型农业科技创新活动的人才，按照有关规定实行分类评价。评价结果作为职称评聘、职务晋升、岗位聘用、薪酬待遇、项目支持和表彰奖励等的重要依据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市农业农村部门应当定期编制农业科技成果目录，并向社会发布。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农业农村部门应当会同经济信息化等部门优化工作流程和机制，推动农业新技术、新产品等加快进入市场。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本市鼓励农业科技成果转移转化平台优化科技咨询、价值评估、成果推介、交易经纪等服务，加快农业科技成果转化应用。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本市依法保护农业领域专利、商标、著作权以及地理标志、植物新品种、商业秘密等知识产权，促进农业领域知识产权创造、运用，激励农业科技创新。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知识产权、农业农村、科技等部门应当完善农业领域知识产权公共服务体系，推动农业领域知识产权信息传播利用，提升知识产权公共服务的便利化和可及性。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市和相关区人民政府应当加强基层农业技术推广队伍建设，建立农业技术推广机构与高等学校、科研机构、农业生产经营组织、行业协会、农民技术人员等相结合的农业技术推广体系。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本市支持高等学校、科研机构、农业技术推广机构、农业生产经营组织，培养和引进农业科技创新、成果转移转化、技术推广服务等方面的人才和高水平农业科技创新团队。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本市加快农业领域教育科技人才一体化发展，引导高等学校、科研机构创新人才培养模式，推动农业科技人才培养与市场需求有效对接。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市农业农村部门应当会同市人才、人力资源社会保障、科技等部门编制农业重点领域的科技人才开发目录，依托国家和市级重大人才计划工程项目，培养农业科技人才。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本市支持农业科技人才有序流动，鼓励高等学校、科研机构等通过多种方式实行农业科技人才交流。允许高等学校、科研机构农业科技人员按照国家和本市有关规定，保留原有身份到企业专门从事农业科技创新。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市教育、人力资源社会保障部门应当发展农村职业技术教育和农村成人教育。本市按照规定减免高等学校和中等职业学校种植、养殖等涉农专业学生的学费。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农业农村部门应当会同市人力资源社会保障等部门，面向优势特色主导产业、农业生产性服务新需求、农村社会事业发展，制定农民专业技术、实用技术等农业技术培训计划并组织实施，免费为农民提供农业技术培训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市和相关区人民政府支持构建公益性培训机构为主体，高等学校、科研机构等社会主体参与的高素质农民教育培训体系，推进教育培训资源共建共享、优势互补，打造高素质农民队伍。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农业农村部门应当会同地方金融、科技等部门加强农业科技创新金融支持。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市财政部门应当优化财政支持农业科技发展政策工具，会同市地方金融部门、国务院金融管理部门在沪机构等健全政府性融资担保体系，完善中小微企业信贷风险补偿和奖励政策。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本市涉农产业基金重点支持农业科技创新。鼓励金融机构开发针对涉农科技型企业的信贷、保险等金融产品。鼓励风险投资、长期资本和耐心资本投入农业科技创新，支持涉农科技型企业对接境内外资本市场。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规划资源、农业农村等部门应当依法保障农业科技产业集聚区、农业科研设施、农业科技应用场景等所需建设用地和农用地。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本市统筹农业科技创新和科技安全，预防和化解农业科技安全风险，加强农业科技研究、开发与应用活动的安全管理。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本市加强与长江三角洲区域相关省市农业科技创新合作，推动建立长江三角洲区域农业科技创新协同机制，开展技术攻关和创新，提升长江三角洲区域农业科技创新效能。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本市推动与国内其他地区开展农业科技创新合作，建立常态化合作交流机制，促进创新要素合理流动和高效集聚。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本市支持开展农业科技创新国际合作交流，推动农业科技成果跨境转移转化，支持高等学校、科研机构、农业生产经营组织等参与和发起国际农业科技组织。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本规定自2025年1月1日起施行。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