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A0631C" w:rsidRPr="00A0631C" w:rsidRDefault="00A0631C" w:rsidP="009E3977">
      <w:pPr>
        <w:widowControl w:val="0"/>
        <w:jc w:val="center"/>
        <w:rPr>
          <w:rFonts w:ascii="仿宋_GB2312" w:eastAsia="仿宋_GB2312" w:hAnsi="仿宋_GB2312" w:cs="仿宋_GB2312"/>
          <w:color w:val="000000"/>
          <w:sz w:val="32"/>
          <w:szCs w:val="32"/>
          <w:lang w:val="zh-CN"/>
        </w:rPr>
      </w:pPr>
    </w:p>
    <w:p w:rsidR="00025A09" w:rsidRPr="00025A09" w:rsidRDefault="00025A09" w:rsidP="00025A09">
      <w:pPr>
        <w:jc w:val="center"/>
        <w:rPr>
          <w:rFonts w:hint="eastAsia"/>
          <w:sz w:val="44"/>
          <w:szCs w:val="44"/>
        </w:rPr>
      </w:pPr>
      <w:bookmarkStart w:id="0" w:name="_GoBack"/>
      <w:bookmarkEnd w:id="0"/>
      <w:r w:rsidRPr="00025A09">
        <w:rPr>
          <w:rFonts w:hint="eastAsia"/>
          <w:sz w:val="44"/>
          <w:szCs w:val="44"/>
        </w:rPr>
        <w:t>上海市拆除违法建筑若干规定</w:t>
      </w:r>
    </w:p>
    <w:p w:rsidR="00025A09" w:rsidRPr="00025A09" w:rsidRDefault="00025A09" w:rsidP="00025A09">
      <w:pPr>
        <w:widowControl w:val="0"/>
        <w:ind w:left="612" w:right="612"/>
        <w:rPr>
          <w:rFonts w:ascii="楷体_GB2312" w:eastAsia="楷体_GB2312" w:hAnsi="楷体_GB2312" w:cs="楷体_GB2312" w:hint="eastAsia"/>
          <w:color w:val="000000"/>
          <w:sz w:val="32"/>
          <w:szCs w:val="32"/>
          <w:lang w:val="zh-CN"/>
        </w:rPr>
      </w:pPr>
      <w:r w:rsidRPr="00025A09">
        <w:rPr>
          <w:rFonts w:ascii="楷体_GB2312" w:eastAsia="楷体_GB2312" w:hAnsi="楷体_GB2312" w:cs="楷体_GB2312" w:hint="eastAsia"/>
          <w:color w:val="000000"/>
          <w:sz w:val="32"/>
          <w:szCs w:val="32"/>
          <w:lang w:val="zh-CN"/>
        </w:rPr>
        <w:t>（1999年6月1日上海市第十一届人民代表大会常务委员会第十次会议通过</w:t>
      </w:r>
      <w:r>
        <w:rPr>
          <w:rFonts w:ascii="楷体_GB2312" w:eastAsia="楷体_GB2312" w:hAnsi="楷体_GB2312" w:cs="楷体_GB2312" w:hint="eastAsia"/>
          <w:color w:val="000000"/>
          <w:sz w:val="32"/>
          <w:szCs w:val="32"/>
          <w:lang w:val="zh-CN"/>
        </w:rPr>
        <w:t xml:space="preserve">  </w:t>
      </w:r>
      <w:r w:rsidRPr="00025A09">
        <w:rPr>
          <w:rFonts w:ascii="楷体_GB2312" w:eastAsia="楷体_GB2312" w:hAnsi="楷体_GB2312" w:cs="楷体_GB2312" w:hint="eastAsia"/>
          <w:color w:val="000000"/>
          <w:sz w:val="32"/>
          <w:szCs w:val="32"/>
          <w:lang w:val="zh-CN"/>
        </w:rPr>
        <w:t>2009年6月25日上海市第十三届人民代表大会常务委员会第十二次会议修订</w:t>
      </w:r>
      <w:r>
        <w:rPr>
          <w:rFonts w:ascii="楷体_GB2312" w:eastAsia="楷体_GB2312" w:hAnsi="楷体_GB2312" w:cs="楷体_GB2312" w:hint="eastAsia"/>
          <w:color w:val="000000"/>
          <w:sz w:val="32"/>
          <w:szCs w:val="32"/>
          <w:lang w:val="zh-CN"/>
        </w:rPr>
        <w:t xml:space="preserve">  </w:t>
      </w:r>
      <w:r w:rsidRPr="00025A09">
        <w:rPr>
          <w:rFonts w:ascii="楷体_GB2312" w:eastAsia="楷体_GB2312" w:hAnsi="楷体_GB2312" w:cs="楷体_GB2312" w:hint="eastAsia"/>
          <w:color w:val="000000"/>
          <w:sz w:val="32"/>
          <w:szCs w:val="32"/>
          <w:lang w:val="zh-CN"/>
        </w:rPr>
        <w:t>根据2011年12月22日上海市第十三届人民代表大会常务委员会第三十一次会议《关于修改本市部分地方性法规的决定》第一次修正</w:t>
      </w:r>
      <w:r>
        <w:rPr>
          <w:rFonts w:ascii="楷体_GB2312" w:eastAsia="楷体_GB2312" w:hAnsi="楷体_GB2312" w:cs="楷体_GB2312" w:hint="eastAsia"/>
          <w:color w:val="000000"/>
          <w:sz w:val="32"/>
          <w:szCs w:val="32"/>
          <w:lang w:val="zh-CN"/>
        </w:rPr>
        <w:t xml:space="preserve">  </w:t>
      </w:r>
      <w:r w:rsidRPr="00025A09">
        <w:rPr>
          <w:rFonts w:ascii="楷体_GB2312" w:eastAsia="楷体_GB2312" w:hAnsi="楷体_GB2312" w:cs="楷体_GB2312" w:hint="eastAsia"/>
          <w:color w:val="000000"/>
          <w:sz w:val="32"/>
          <w:szCs w:val="32"/>
          <w:lang w:val="zh-CN"/>
        </w:rPr>
        <w:t>根据2017年11月23日上海市第十四届人民代表大会常务委员会第四十一次会议《关于修改本市部分地方性法规的决定》第二次修正</w:t>
      </w:r>
      <w:r>
        <w:rPr>
          <w:rFonts w:ascii="楷体_GB2312" w:eastAsia="楷体_GB2312" w:hAnsi="楷体_GB2312" w:cs="楷体_GB2312" w:hint="eastAsia"/>
          <w:color w:val="000000"/>
          <w:sz w:val="32"/>
          <w:szCs w:val="32"/>
          <w:lang w:val="zh-CN"/>
        </w:rPr>
        <w:t xml:space="preserve">  </w:t>
      </w:r>
      <w:r w:rsidRPr="00025A09">
        <w:rPr>
          <w:rFonts w:ascii="楷体_GB2312" w:eastAsia="楷体_GB2312" w:hAnsi="楷体_GB2312" w:cs="楷体_GB2312" w:hint="eastAsia"/>
          <w:color w:val="000000"/>
          <w:sz w:val="32"/>
          <w:szCs w:val="32"/>
          <w:lang w:val="zh-CN"/>
        </w:rPr>
        <w:t>根据2018年5月24日上海市第十五届人民代表大会常务委员会第四次会议《关于修改本市部分地方性法规的决定》第三次修正）</w:t>
      </w:r>
    </w:p>
    <w:p w:rsidR="00025A09" w:rsidRPr="00025A09" w:rsidRDefault="00025A09" w:rsidP="00025A09">
      <w:pPr>
        <w:widowControl w:val="0"/>
        <w:ind w:firstLine="612"/>
        <w:rPr>
          <w:rFonts w:ascii="仿宋_GB2312" w:eastAsia="仿宋_GB2312" w:hAnsi="仿宋_GB2312" w:cs="仿宋_GB2312"/>
          <w:color w:val="000000"/>
          <w:sz w:val="32"/>
          <w:szCs w:val="32"/>
          <w:lang w:val="zh-CN"/>
        </w:rPr>
      </w:pP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为了加强对违法建筑的治理，提高城市环境质量，根据《中华人民共和国城乡规划法》等有关法律、行政法规，结合本市实际情况，制定本规定。</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本规定适用于本市行政区域内除乡、村庄规划区外未依法取得建设工程规划许可证的违法建筑的拆除。</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市和区人民政府统一领导和负责所辖区域内拆除违法建筑工作，建立健全拆除违法建筑工作机制，完善、落实拆除违法建筑责任制，对拆除违法建筑实施部门进行考核。</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仿宋_GB2312" w:eastAsia="仿宋_GB2312" w:hAnsi="仿宋_GB2312" w:cs="仿宋_GB2312" w:hint="eastAsia"/>
          <w:color w:val="000000"/>
          <w:sz w:val="32"/>
          <w:szCs w:val="32"/>
          <w:lang w:val="zh-CN"/>
        </w:rPr>
        <w:lastRenderedPageBreak/>
        <w:t>市城乡建设管理部门和区人民政府指定的部门具体负责所辖区域内拆除违法建筑工作的综合协调。</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仿宋_GB2312" w:eastAsia="仿宋_GB2312" w:hAnsi="仿宋_GB2312" w:cs="仿宋_GB2312" w:hint="eastAsia"/>
          <w:color w:val="000000"/>
          <w:sz w:val="32"/>
          <w:szCs w:val="32"/>
          <w:lang w:val="zh-CN"/>
        </w:rPr>
        <w:t>市和区规划管理部门、城市管理行政执法部门（以下统称“拆违实施部门”）按照规划管理、物业管理等方面的法律、法规和市人民政府的规定，分别负责违法建筑的拆除，其具体职责分工，由市人民政府另行规定。</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仿宋_GB2312" w:eastAsia="仿宋_GB2312" w:hAnsi="仿宋_GB2312" w:cs="仿宋_GB2312" w:hint="eastAsia"/>
          <w:color w:val="000000"/>
          <w:sz w:val="32"/>
          <w:szCs w:val="32"/>
          <w:lang w:val="zh-CN"/>
        </w:rPr>
        <w:t>街道办事处、镇人民政府应当配合拆违实施部门做好违法建筑的拆除工作。</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仿宋_GB2312" w:eastAsia="仿宋_GB2312" w:hAnsi="仿宋_GB2312" w:cs="仿宋_GB2312" w:hint="eastAsia"/>
          <w:color w:val="000000"/>
          <w:sz w:val="32"/>
          <w:szCs w:val="32"/>
          <w:lang w:val="zh-CN"/>
        </w:rPr>
        <w:t>公安、工商等其他有关行政管理部门根据各自职责，协助做好拆除违法建筑的相关工作。</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本市建立健全发现违法建筑的巡查制度。</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仿宋_GB2312" w:eastAsia="仿宋_GB2312" w:hAnsi="仿宋_GB2312" w:cs="仿宋_GB2312" w:hint="eastAsia"/>
          <w:color w:val="000000"/>
          <w:sz w:val="32"/>
          <w:szCs w:val="32"/>
          <w:lang w:val="zh-CN"/>
        </w:rPr>
        <w:t>拆违实施部门、各区承担城市管理巡查职责的机构应当按照规定的职责分工，采取措施，加强日常巡查，及时发现违法建筑并依法予以查处。街道办事处、镇人民政府应当组织力量开展巡查，及时发现并制止搭建违法建筑的行为。</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仿宋_GB2312" w:eastAsia="仿宋_GB2312" w:hAnsi="仿宋_GB2312" w:cs="仿宋_GB2312" w:hint="eastAsia"/>
          <w:color w:val="000000"/>
          <w:sz w:val="32"/>
          <w:szCs w:val="32"/>
          <w:lang w:val="zh-CN"/>
        </w:rPr>
        <w:t>物业服务企业在其物业管理区域内发现搭建违法建筑的，应当予以劝阻、制止；劝阻、制止无效的，应当及时报告所在区的拆违实施部门。</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市城乡建设管理部门应当设立本市违法建筑的统一举报电话，并向社会公布。</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仿宋_GB2312" w:eastAsia="仿宋_GB2312" w:hAnsi="仿宋_GB2312" w:cs="仿宋_GB2312" w:hint="eastAsia"/>
          <w:color w:val="000000"/>
          <w:sz w:val="32"/>
          <w:szCs w:val="32"/>
          <w:lang w:val="zh-CN"/>
        </w:rPr>
        <w:t>任何单位或者个人发现违法建筑，可以向统一举报电话举报，也可以向拆违实施部门举报。受理举报的部门应当为举报人保密。</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仿宋_GB2312" w:eastAsia="仿宋_GB2312" w:hAnsi="仿宋_GB2312" w:cs="仿宋_GB2312" w:hint="eastAsia"/>
          <w:color w:val="000000"/>
          <w:sz w:val="32"/>
          <w:szCs w:val="32"/>
          <w:lang w:val="zh-CN"/>
        </w:rPr>
        <w:lastRenderedPageBreak/>
        <w:t>市城乡建设管理部门接到举报后，应当立即转告所在区的拆违实施部门。</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仿宋_GB2312" w:eastAsia="仿宋_GB2312" w:hAnsi="仿宋_GB2312" w:cs="仿宋_GB2312" w:hint="eastAsia"/>
          <w:color w:val="000000"/>
          <w:sz w:val="32"/>
          <w:szCs w:val="32"/>
          <w:lang w:val="zh-CN"/>
        </w:rPr>
        <w:t>拆违实施部门应当在一个月内将查处违法建筑的情况反馈举报人。</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区拆违实施部门应当对本辖区内违法建筑及其查处等情况进行记录，经区人民政府指定的部门汇总后，纳入市城乡建设管理部门建立的信息系统，作为违法建筑治理工作的依据。</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拆违实施部门发现违法建筑、接到相关举报或者物业服务企业的相关报告后，应当在二十四小时内到现场进行调查取证，对正在搭建的，应当在两小时内到现场进行调查取证。对不属于本部门职责范围内的违法建筑，应当立即移送相关部门进行处理。</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对经查证确属违法建筑需要拆除的，拆违实施部门应当作出责令限期拆除的书面决定。</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拆违实施部门应当依法将责令限期拆除决定送达当事人，并予以公告。当事人难以确定或者难以送达的，可以采用通告形式，告示期限自通告发布之日起不少于十日。</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当事人应当在责令限期拆除决定规定的期限内，自行拆除违法建筑。当事人自行拆除确有困难的，拆违实施部门可以代为拆除。</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仿宋_GB2312" w:eastAsia="仿宋_GB2312" w:hAnsi="仿宋_GB2312" w:cs="仿宋_GB2312" w:hint="eastAsia"/>
          <w:color w:val="000000"/>
          <w:sz w:val="32"/>
          <w:szCs w:val="32"/>
          <w:lang w:val="zh-CN"/>
        </w:rPr>
        <w:t>当事人在责令限期拆除决定规定的期限内拒不拆除违法建筑的，市或者区人民政府应当催告当事人履行义务。催告应当以书</w:t>
      </w:r>
      <w:r w:rsidRPr="00025A09">
        <w:rPr>
          <w:rFonts w:ascii="仿宋_GB2312" w:eastAsia="仿宋_GB2312" w:hAnsi="仿宋_GB2312" w:cs="仿宋_GB2312" w:hint="eastAsia"/>
          <w:color w:val="000000"/>
          <w:sz w:val="32"/>
          <w:szCs w:val="32"/>
          <w:lang w:val="zh-CN"/>
        </w:rPr>
        <w:lastRenderedPageBreak/>
        <w:t>面形式作出，并载明拆除违法建筑的期限、当事人依法享有的陈述和申辩权利等事项。</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仿宋_GB2312" w:eastAsia="仿宋_GB2312" w:hAnsi="仿宋_GB2312" w:cs="仿宋_GB2312" w:hint="eastAsia"/>
          <w:color w:val="000000"/>
          <w:sz w:val="32"/>
          <w:szCs w:val="32"/>
          <w:lang w:val="zh-CN"/>
        </w:rPr>
        <w:t>当事人收到催告书后，有权进行陈述和申辩。拆违实施部门应当充分听取当事人意见，并对当事人提出的事实、理由和证据进行记录、复核。当事人提出的事实、理由或者证据成立的，拆违实施部门应当采纳。</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仿宋_GB2312" w:eastAsia="仿宋_GB2312" w:hAnsi="仿宋_GB2312" w:cs="仿宋_GB2312" w:hint="eastAsia"/>
          <w:color w:val="000000"/>
          <w:sz w:val="32"/>
          <w:szCs w:val="32"/>
          <w:lang w:val="zh-CN"/>
        </w:rPr>
        <w:t>当事人在法定期限内不申请行政复议或者提起行政诉讼，又不拆除违法建筑的，拆违实施部门应当向市或者区人民政府报告，由市或者区人民政府作出强制拆除决定，责成拆违实施部门等有关部门依法强制拆除，并可以依法予以罚款。</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对正在搭建的违法建筑，拆违实施部门应当当场责令当事人暂停施工，依照有关法律、法规进行调查取证后，以书面形式责令当事人停止建设、自行拆除，并可以采取暂扣施工工具和材料等措施；当事人拒不停止建设或者拒不拆除的，拆违实施部门应当依法立即强制拆除，并可以依法予以罚款。</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违法建筑强制拆除时，拆违实施部门应当通知当事人取走违法建筑内的财物，当事人未取走的，拆违实施部门应当妥善保管，并通知当事人在限定的期限内领取。当事人逾期未领取的，拆违实施部门可以在留存证据后根据实际情况妥善处置。</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仿宋_GB2312" w:eastAsia="仿宋_GB2312" w:hAnsi="仿宋_GB2312" w:cs="仿宋_GB2312" w:hint="eastAsia"/>
          <w:color w:val="000000"/>
          <w:sz w:val="32"/>
          <w:szCs w:val="32"/>
          <w:lang w:val="zh-CN"/>
        </w:rPr>
        <w:t>违法建筑强制拆除后，拆违实施部门应当和街道办事处或者镇人民政府对当事人做好相关工作。</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违法建筑拆除后，当事人应当在清理通知书规定</w:t>
      </w:r>
      <w:r w:rsidRPr="00025A09">
        <w:rPr>
          <w:rFonts w:ascii="仿宋_GB2312" w:eastAsia="仿宋_GB2312" w:hAnsi="仿宋_GB2312" w:cs="仿宋_GB2312" w:hint="eastAsia"/>
          <w:color w:val="000000"/>
          <w:sz w:val="32"/>
          <w:szCs w:val="32"/>
          <w:lang w:val="zh-CN"/>
        </w:rPr>
        <w:lastRenderedPageBreak/>
        <w:t>的期限内清理建筑垃圾；逾期未清理的，拆违实施部门可以予以清理。</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拆违实施部门及其工作人员在违法建筑查处工作中应当向当事人出示执法证件，依法行使职权，文明执法，不得侵犯当事人的合法权益；对当事人的合法财产造成损害的，应当依法予以赔偿。</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城乡建设管理部门应当加强对建设工程施工单位的监督管理。</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仿宋_GB2312" w:eastAsia="仿宋_GB2312" w:hAnsi="仿宋_GB2312" w:cs="仿宋_GB2312" w:hint="eastAsia"/>
          <w:color w:val="000000"/>
          <w:sz w:val="32"/>
          <w:szCs w:val="32"/>
          <w:lang w:val="zh-CN"/>
        </w:rPr>
        <w:t>在拆违实施部门查处违法建筑过程中，承揽违法建筑施工作业的单位应当立即停止施工，并配合查处。</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属于违法建筑的房屋不得出租。</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仿宋_GB2312" w:eastAsia="仿宋_GB2312" w:hAnsi="仿宋_GB2312" w:cs="仿宋_GB2312" w:hint="eastAsia"/>
          <w:color w:val="000000"/>
          <w:sz w:val="32"/>
          <w:szCs w:val="32"/>
          <w:lang w:val="zh-CN"/>
        </w:rPr>
        <w:t>违法建筑不得办理房地产权利登记。</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仿宋_GB2312" w:eastAsia="仿宋_GB2312" w:hAnsi="仿宋_GB2312" w:cs="仿宋_GB2312" w:hint="eastAsia"/>
          <w:color w:val="000000"/>
          <w:sz w:val="32"/>
          <w:szCs w:val="32"/>
          <w:lang w:val="zh-CN"/>
        </w:rPr>
        <w:t>利用违法建筑从事经营活动的，不得办理营业执照等相关证照。</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市和区人民政府应当对拆除违法建筑工作经费予以保障，所需工作经费纳入各有关部门的年度预算。</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当事人对拆违实施部门作出的具体行政行为不服的，可以依照《中华人民共和国行政复议法》或者《中华人民共和国行政诉讼法》的规定，申请行政复议或者提起行政诉讼。</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市和区人民政府应当建立违法建筑查处工作的考核制度，对在拆违工作中成绩突出的单位和个人予以表彰，对未依法履行职责的单位和个人予以处理。</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黑体" w:eastAsia="黑体" w:hAnsi="黑体" w:cs="黑体" w:hint="eastAsia"/>
          <w:color w:val="000000"/>
          <w:sz w:val="32"/>
          <w:szCs w:val="32"/>
          <w:lang w:val="zh-CN"/>
        </w:rPr>
        <w:lastRenderedPageBreak/>
        <w:t>第二十条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 xml:space="preserve">拆违实施部门、有关行政管理部门及其工作人员在发现和查处违法建筑过程中，有下列情形之一的，对直接负责的主管人员和其他直接责任人员依法给予行政处分；构成犯罪的，依法追究刑事责任： </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仿宋_GB2312" w:eastAsia="仿宋_GB2312" w:hAnsi="仿宋_GB2312" w:cs="仿宋_GB2312" w:hint="eastAsia"/>
          <w:color w:val="000000"/>
          <w:sz w:val="32"/>
          <w:szCs w:val="32"/>
          <w:lang w:val="zh-CN"/>
        </w:rPr>
        <w:t>（一）未按规定履行巡查职责，或者发现违法建筑不报告、不制止，情节严重的；</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仿宋_GB2312" w:eastAsia="仿宋_GB2312" w:hAnsi="仿宋_GB2312" w:cs="仿宋_GB2312" w:hint="eastAsia"/>
          <w:color w:val="000000"/>
          <w:sz w:val="32"/>
          <w:szCs w:val="32"/>
          <w:lang w:val="zh-CN"/>
        </w:rPr>
        <w:t>（二）依法应当作出拆除违法建筑决定而未作出的；</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仿宋_GB2312" w:eastAsia="仿宋_GB2312" w:hAnsi="仿宋_GB2312" w:cs="仿宋_GB2312" w:hint="eastAsia"/>
          <w:color w:val="000000"/>
          <w:sz w:val="32"/>
          <w:szCs w:val="32"/>
          <w:lang w:val="zh-CN"/>
        </w:rPr>
        <w:t>（三）对属于本部门的职责推诿的；</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仿宋_GB2312" w:eastAsia="仿宋_GB2312" w:hAnsi="仿宋_GB2312" w:cs="仿宋_GB2312" w:hint="eastAsia"/>
          <w:color w:val="000000"/>
          <w:sz w:val="32"/>
          <w:szCs w:val="32"/>
          <w:lang w:val="zh-CN"/>
        </w:rPr>
        <w:t>（四）对正在搭建的违法建筑应当立即拆除而未拆除的；</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仿宋_GB2312" w:eastAsia="仿宋_GB2312" w:hAnsi="仿宋_GB2312" w:cs="仿宋_GB2312" w:hint="eastAsia"/>
          <w:color w:val="000000"/>
          <w:sz w:val="32"/>
          <w:szCs w:val="32"/>
          <w:lang w:val="zh-CN"/>
        </w:rPr>
        <w:t>（五）违法办理房地产权利登记、营业执照等相关证照的；</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仿宋_GB2312" w:eastAsia="仿宋_GB2312" w:hAnsi="仿宋_GB2312" w:cs="仿宋_GB2312" w:hint="eastAsia"/>
          <w:color w:val="000000"/>
          <w:sz w:val="32"/>
          <w:szCs w:val="32"/>
          <w:lang w:val="zh-CN"/>
        </w:rPr>
        <w:t>（六）其他玩忽职守、滥用职权、徇私舞弊的。</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阻碍拆违实施部门工作人员依法执行职务的，由公安机关依照《中华人民共和国治安管理处罚法》予以处罚；构成犯罪的，依法追究刑事责任。</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国家工作人员搭建违法建筑的，应当主动拆除；拒不拆除或者阻碍违法建筑查处工作的，由拆违实施部门将有关情况书面告知其所在单位或者监察机关，并建议依法给予处分。</w:t>
      </w:r>
    </w:p>
    <w:p w:rsidR="00025A09" w:rsidRPr="00025A09" w:rsidRDefault="00025A09" w:rsidP="00025A09">
      <w:pPr>
        <w:widowControl w:val="0"/>
        <w:ind w:firstLine="612"/>
        <w:rPr>
          <w:rFonts w:ascii="仿宋_GB2312" w:eastAsia="仿宋_GB2312" w:hAnsi="仿宋_GB2312" w:cs="仿宋_GB2312" w:hint="eastAsia"/>
          <w:color w:val="000000"/>
          <w:sz w:val="32"/>
          <w:szCs w:val="32"/>
          <w:lang w:val="zh-CN"/>
        </w:rPr>
      </w:pPr>
      <w:r w:rsidRPr="00025A09">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乡、村庄规划区的违法建筑拆除，由乡、镇人民政府参照本规定执行。</w:t>
      </w:r>
    </w:p>
    <w:p w:rsidR="008D063C" w:rsidRPr="008D063C" w:rsidRDefault="00025A09" w:rsidP="00025A09">
      <w:pPr>
        <w:widowControl w:val="0"/>
        <w:ind w:firstLine="612"/>
        <w:rPr>
          <w:rFonts w:ascii="仿宋_GB2312" w:eastAsia="仿宋_GB2312" w:hAnsi="仿宋_GB2312" w:cs="仿宋_GB2312"/>
          <w:color w:val="000000"/>
          <w:sz w:val="32"/>
          <w:szCs w:val="32"/>
          <w:lang w:val="zh-CN"/>
        </w:rPr>
      </w:pPr>
      <w:r w:rsidRPr="00025A09">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sidRPr="00025A09">
        <w:rPr>
          <w:rFonts w:ascii="仿宋_GB2312" w:eastAsia="仿宋_GB2312" w:hAnsi="仿宋_GB2312" w:cs="仿宋_GB2312" w:hint="eastAsia"/>
          <w:color w:val="000000"/>
          <w:sz w:val="32"/>
          <w:szCs w:val="32"/>
          <w:lang w:val="zh-CN"/>
        </w:rPr>
        <w:t>本规定自2009年8月1日起施行。</w:t>
      </w: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FDE" w:rsidRDefault="00E02FDE" w:rsidP="00F1577A">
      <w:r>
        <w:separator/>
      </w:r>
    </w:p>
  </w:endnote>
  <w:endnote w:type="continuationSeparator" w:id="0">
    <w:p w:rsidR="00E02FDE" w:rsidRDefault="00E02FDE"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E02FDE">
    <w:pPr>
      <w:pStyle w:val="a3"/>
    </w:pPr>
    <w:r>
      <w:pict>
        <v:shapetype id="_x0000_t202" coordsize="21600,21600" o:spt="202" path="m,l,21600r21600,l21600,xe">
          <v:stroke joinstyle="miter"/>
          <v:path gradientshapeok="t" o:connecttype="rect"/>
        </v:shapetype>
        <v:shape id="文本框 6" o:spid="_x0000_s2049" type="#_x0000_t202" style="position:absolute;margin-left:1017.6pt;margin-top:0;width:2in;height:2in;z-index:251659264;mso-wrap-style:none;mso-position-horizontal:outside;mso-position-horizontal-relative:margin" o:preferrelative="t" filled="f" stroked="f">
          <v:textbox style="mso-fit-shape-to-text:t" inset="0,0,0,0">
            <w:txbxContent>
              <w:p w:rsidR="00F1577A" w:rsidRDefault="00B06CE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25A09">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E02FDE">
    <w:pPr>
      <w:pStyle w:val="a3"/>
    </w:pPr>
    <w:r>
      <w:pict>
        <v:shapetype id="_x0000_t202" coordsize="21600,21600" o:spt="202" path="m,l,21600r21600,l21600,xe">
          <v:stroke joinstyle="miter"/>
          <v:path gradientshapeok="t" o:connecttype="rect"/>
        </v:shapetype>
        <v:shape id="文本框 5" o:spid="_x0000_s2050" type="#_x0000_t202" style="position:absolute;margin-left:1017.6pt;margin-top:0;width:2in;height:2in;z-index:251658240;mso-wrap-style:none;mso-position-horizontal:outside;mso-position-horizontal-relative:margin" o:preferrelative="t" filled="f" stroked="f">
          <v:textbox style="mso-fit-shape-to-text:t" inset="0,0,0,0">
            <w:txbxContent>
              <w:p w:rsidR="00F1577A" w:rsidRDefault="00B06CE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25A09">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FDE" w:rsidRDefault="00E02FDE" w:rsidP="00F1577A">
      <w:r>
        <w:separator/>
      </w:r>
    </w:p>
  </w:footnote>
  <w:footnote w:type="continuationSeparator" w:id="0">
    <w:p w:rsidR="00E02FDE" w:rsidRDefault="00E02FDE"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2BB1"/>
    <w:rsid w:val="00025A09"/>
    <w:rsid w:val="00172A27"/>
    <w:rsid w:val="002E7100"/>
    <w:rsid w:val="003C77B1"/>
    <w:rsid w:val="00505F10"/>
    <w:rsid w:val="00514B26"/>
    <w:rsid w:val="005154D0"/>
    <w:rsid w:val="005927B6"/>
    <w:rsid w:val="00610868"/>
    <w:rsid w:val="006601AB"/>
    <w:rsid w:val="0068412F"/>
    <w:rsid w:val="00735D13"/>
    <w:rsid w:val="008344D8"/>
    <w:rsid w:val="0087304C"/>
    <w:rsid w:val="008D063C"/>
    <w:rsid w:val="00936B2E"/>
    <w:rsid w:val="0094614F"/>
    <w:rsid w:val="009B5343"/>
    <w:rsid w:val="009E3977"/>
    <w:rsid w:val="00A0631C"/>
    <w:rsid w:val="00B06CE5"/>
    <w:rsid w:val="00C57FB3"/>
    <w:rsid w:val="00C97B7C"/>
    <w:rsid w:val="00CC3A44"/>
    <w:rsid w:val="00E02FDE"/>
    <w:rsid w:val="00F136A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479A453"/>
  <w15:docId w15:val="{76CF2119-042A-4C33-AF5A-79297FB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14</cp:revision>
  <dcterms:created xsi:type="dcterms:W3CDTF">2016-12-21T01:02:00Z</dcterms:created>
  <dcterms:modified xsi:type="dcterms:W3CDTF">2018-07-17T23:01:00Z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