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营市制定地方性法规条例"/>
      <w:bookmarkEnd w:id="0"/>
      <w:r>
        <w:rPr>
          <w:rFonts w:ascii="方正小标宋简体" w:eastAsia="方正小标宋简体" w:hAnsi="方正小标宋简体" w:cs="方正小标宋简体" w:hint="eastAsia"/>
          <w:color w:val="333333"/>
          <w:sz w:val="44"/>
          <w:szCs w:val="44"/>
          <w:shd w:val="clear" w:color="auto" w:fill="FFFFFF"/>
        </w:rPr>
        <w:t>东营市制定地方性法规条例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（2016年2月20日东营市第七届人民代表大会第五次会议审议通过　2016年3月30日山东省第十二届人民代表大会常务委员会第二十次会议批准　根据2025年2月27日东营市第九届人民代表大会常务委员会第二十二次会议通过并经2025年3月20日山东省第十四届人民代表大会常务委员会第十四次会议批准的《东营市人民代表大会常务委员会关于修改〈东营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地方立法制度保障和其他规定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制定地方性法规活动，提高地方性法规质量，发挥地方立法的引领和推动作用，根据《中华人民共和国立法法》《中华人民共和国地方各级人民代表大会和地方各级人民政府组织法》和《山东省地方立法条例》的有关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市人民代表大会及其常务委员会制定、修改、废止、解释地方性法规，以及其他相关立法活动，适用本条例。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制定地方性法规应当坚持中国共产党的领导，坚持以马克思列宁主义、毛泽东思想、邓小平理论、“三个代表”重要思想、科学发展观、习近平新时代中国特色社会主义思想为指导，全面推进法治东营建设。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制定地方性法规应当坚持以经济建设为中心，坚持改革开放，完整、准确、全面贯彻新发展理念，为在中国式现代化进程中推进本市经济发展和社会建设提供法治保障。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制定地方性法规应当符合宪法的规定、原则和精神，不得同宪法、法律、行政法规和本省的地方性法规相抵触；应当依照法定的权限和程序，从国家整体利益出发，维护社会主义法制的统一、尊严、权威。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制定地方性法规，应当符合本市的具体情况和实际需要，体现地方特色。地方性法规内容应当明确、具体，具有针对性和可执行性；对上位法已经明确规定的内容，一般不作重复性规定。</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本省的地方性法规相抵触的前提下，可以对城乡建设与管理、生态文明建设、历史文化保护、基层治理等方面的事项制定地方性法规。</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市人民代表大会制定和修改本市行政区域特别重大事项的地方性法规。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市人民代表大会及其常务委员会加强对制定地方性法规工作的组织协调，发挥在制定地方性法规工作中的主导作用。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立法准备"/>
      <w:bookmarkEnd w:id="16"/>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市人民代表大会常务委员会通过地方立法规划、年度立法计划等形式，加强对制定地方性法规工作的统筹安排。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计划，应当认真研究代表议案和建议，广泛征集意见，科学论证评估，根据经济社会发展和民主法治建设的需要，按照加强重点领域、新兴领域立法的要求，合理确定地方立法项目，提高制定地方性法规的及时性、针对性和系统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地方立法规划和年度立法计划由市人民代表大会常务委员会主任会议通过并向社会公布。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市人民代表大会常务委员会法制工作机构负责编制地方立法规划和拟定年度立法计划，并按照市人民代表大会常务委员会的要求，督促立法规划和年度立法计划的落实。</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有关单位应当按照年度立法计划，做好地方性法规草案起草工作。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起草地方性法规草案应当深入调查研究，广泛听取有关机关、组织、人民代表大会代表和社会公众的意见。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市人民代表大会制定地方性法规程序"/>
      <w:bookmarkEnd w:id="22"/>
      <w:r>
        <w:rPr>
          <w:rFonts w:ascii="Times New Roman" w:eastAsia="黑体" w:hAnsi="Times New Roman" w:cs="黑体" w:hint="eastAsia"/>
          <w:szCs w:val="32"/>
        </w:rPr>
        <w:t>第三章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列入市人民代表大会会议议程的地方性法规案经各代表团审议后，各方面意见比较一致的，由法制委员会根据各代表团和有关的专门委员会的审议意见，向主席团提出审议结果的报告和地方性法规草案表决稿。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地方性法规草案修改稿经各代表团审议，由法制委员会根据各代表团的审议意见进行修改，提出地方性法规草案表决稿，地方性法规草案表决稿由主席团提请大会全体会议表决，由全体代表的过半数通过。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市人民代表大会常务委员会制定地方性法规程序"/>
      <w:bookmarkEnd w:id="35"/>
      <w:r>
        <w:rPr>
          <w:rFonts w:ascii="Times New Roman" w:eastAsia="黑体" w:hAnsi="Times New Roman" w:cs="黑体" w:hint="eastAsia"/>
          <w:szCs w:val="32"/>
        </w:rPr>
        <w:t>第四章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提请常务委员会会议第一次审议的地方性法规案，提案人应当在会议举行的一个月前，将提请审议的地方性法规案送交常务委员会。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未在规定时间内送交的，不列入本次常务委员会会议议程，并由提案人向主任会议说明情况。</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市人民政府、市人民代表大会常务委员会组成人员五人以上联名提出的地方性法规案，主任会议决定列入常务委员会会议议程的，由有关的专门委员会对地方性法规案进行审议，提出审议意见。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有关的专门委员会审议地方性法规案时，可以邀请法制委员会和其他有关的专门委员会的成员列席会议，发表意见。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常务委员会会议审议地方性法规案时，应当邀请有关的省或者市人民代表大会代表列席会议。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常务委员会会议第一次审议地方性法规案，在全体会议上听取提案人的说明和有关的专门委员会的审议报告，由分组会议进行初步审议。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常务委员会会议审议地方性法规案时，应当保证常务委员会组成人员和列席会议的人民代表大会代表有充足的时间发表意见。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只作部分修改、各方面意见比较一致的，或者遇有紧急情形的，可以经一次常务委员会会议审议即交付表决；涉及本市重大事项或者各方面存在较大意见分歧的，经主任会议决定，可以经过三次以上常务委员会会议审议后交付表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常务委员会分组会议审议地方性法规案时，根据小组的要求，有关机关、组织应当派人介绍情况。</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常务委员会工作机构应当将地方性法规草案发送相关领域的市人民代表大会代表、各县区人民代表大会常务委员会、基层立法联系点以及有关部门、组织和专家征求意见。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第一次审议后将地方性法规草案及其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应当将地方性法规草案表决稿印发出席会议的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地方性法规案经常务委员会会议审议后，常务委员会认为有必要提请市人民代表大会审议的，提请市人民代表大会会议审议。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地方性法规的报批和公布"/>
      <w:bookmarkEnd w:id="55"/>
      <w:r>
        <w:rPr>
          <w:rFonts w:ascii="Times New Roman" w:eastAsia="黑体" w:hAnsi="Times New Roman" w:cs="黑体" w:hint="eastAsia"/>
          <w:szCs w:val="32"/>
        </w:rPr>
        <w:t>第五章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市人民代表大会及其常务委员会制定、修改、废止地方性法规，由市人民代表大会常务委员会报请省人民代表大会常务委员会批准后施行。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省人民代表大会常务委员会批准时，应当按照规定提交报请批准地方性法规的书面报告、地方性法规文本和草案的说明、审议结果报告等有关资料。报请批准地方性法规的书面报告，由市人民代表大会常务委员会主任签署。</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地方性法规经省人民代表大会常务委员会批准后，由市人民代表大会常务委员会发布公告予以公布。</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地方性法规公布后，及时在东营市人民代表大会常务委员会公报和东营人大门户网站以及《东营日报》上刊载。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地方性法规被修改的，经省人民代表大会常务委员会批准后，应当公布新的地方性法规文本。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地方性法规被废止的，经省人民代表大会常务委员会批准后，除由其他地方性法规规定废止该地方性法规的以外，由市人民代表大会常务委员会发布公告予以公布。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地方性法规的解释"/>
      <w:bookmarkEnd w:id="60"/>
      <w:r>
        <w:rPr>
          <w:rFonts w:ascii="Times New Roman" w:eastAsia="黑体" w:hAnsi="Times New Roman" w:cs="黑体" w:hint="eastAsia"/>
          <w:szCs w:val="32"/>
        </w:rPr>
        <w:t>第六章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市人民政府、市监察委员会、市中级人民法院、市人民检察院和市人民代表大会各专门委员会以及各县区人民代表大会常务委员会可以向市人民代表大会常务委员会书面提出地方性法规解释要求。</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市人民代表大会常务委员会法制工作机构研究拟订地方性法规解释草案，由主任会议决定列入常务委员会会议议程。</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地方性法规解释草案经市人民代表大会常务委员会会议审议，由法制委员会根据常务委员会组成人员的审议意见进行审议、修改，提出地方性法规解释草案表决稿。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地方性法规解释草案表决稿由市人民代表大会常务委员会全体组成人员的过半数通过。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地方性法规解释的报批和公布适用本条例第五章的有关规定。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市人民代表大会常务委员会对地方性法规作出的解释同地方性法规具有同等效力。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地方立法制度保障和其他规定"/>
      <w:bookmarkEnd w:id="67"/>
      <w:r>
        <w:rPr>
          <w:rFonts w:ascii="Times New Roman" w:eastAsia="黑体" w:hAnsi="Times New Roman" w:cs="黑体" w:hint="eastAsia"/>
          <w:szCs w:val="32"/>
        </w:rPr>
        <w:t>第七章　地方立法制度保障和其他规定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市人民代表大会及其常务委员会坚持科学立法、民主立法、依法立法，通过制定、修改、废止、解释地方性法规等多种形式，增强地方立法的系统性、整体性、协同性、时效性。</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市人民代表大会常务委员会设立地方立法研究服务基地、聘请专家顾问，注重发挥其作用和专业优势，为地方立法提供智力支持和咨询服务。</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市人民代表大会常务委员会根据实际需要设立基层立法联系点，深入听取基层群众和有关方面对地方性法规草案和地方立法工作的意见。</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市人民代表大会有关专门委员会、常务委员会工作机构可以根据工作需要，对立法建议、地方性法规草案或者地方性法规组织立法前、立法中和立法后评估。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负责地方性法规草案起草的部门、单位可以根据工作需要，对地方性法规草案、立法建议组织立法前评估。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负责地方性法规实施的部门、单位可以根据工作需要，对地方性法规组织立法后评估。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立法评估的形式、内容、方法和评估情况的报告等，按照市人民代表大会常务委员会主任会议的相关规定执行。</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地方性法规的必要性、可行性和主要内容，拟对上位法规定的违法行为补充设定行政处罚的情况，以及起草过程中对重大分歧意见的协调处理情况；拟设定行政许可、行政强制措施的，还应当包括设定的必要性、可能产生的影响以及听取和采纳意见的情况。</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本条例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市人民代表大会及其常务委员会制定或者修改的地方性法规实施一年后，主要负责执行的部门应当将法规实施情况书面报告市人民代表大会常务委员会。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市人民代表大会常务委员会工作机构可以对地方性法规的有关具体问题的询问进行研究予以答复，并报常务委员会备案。</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市人民代表大会常务委员会加强立法宣传工作，通过多种形式发布立法信息、介绍情况、回应关切。</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为了维护法制统一和适应改革发展需要，有下列情形之一的，市人民代表大会常务委员会应当组织地方性法规清理：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（一）上位法制定、修改或者废止后，地方性法规与上位法不一致的；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（二）全国人民代表大会常务委员会、国务院、省人民代表大会常务委员会要求清理的；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（三）国家政策发生重大调整或者管理体制、管理事项发生重大变化的；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（四）地方性法规实施的客观条件发生重大变化的；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（五）其他需要清理的情形。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对现行有效的地方性法规进行清理，可以采用集中修改或者废止的方式，对多件地方性法规一并提出修改案或者废止案。</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附则"/>
      <w:bookmarkEnd w:id="8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