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企业所得税法实施条例"/>
      <w:bookmarkEnd w:id="0"/>
      <w:r>
        <w:rPr>
          <w:rFonts w:ascii="方正小标宋简体" w:eastAsia="方正小标宋简体" w:hAnsi="方正小标宋简体" w:cs="方正小标宋简体" w:hint="eastAsia"/>
          <w:color w:val="333333"/>
          <w:sz w:val="44"/>
          <w:szCs w:val="44"/>
          <w:shd w:val="clear" w:color="auto" w:fill="FFFFFF"/>
        </w:rPr>
        <w:t>中华人民共和国企业所得税法实施条例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（2007年12月6日中华人民共和国国务院令第512号公布　根据2019年4月23日《国务院关于修改部分行政法规的决定》第一次修订　根据2024年12月6日《国务院关于修改和废止部分行政法规的决定》第二次修订）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根据《中华人民共和国企业所得税法》（以下简称企业所得税法）的规定，制定本条例。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企业所得税法第一条所称个人独资企业、合伙企业，是指依照中国法律、行政法规成立的个人独资企业、合伙企业。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企业所得税法第二条所称依法在中国境内成立的企业，包括依照中国法律、行政法规在中国境内成立的企业、事业单位、社会团体以及其他取得收入的组织。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企业所得税法第二条所称依照外国（地区）法律成立的企业，包括依照外国（地区）法律成立的企业和其他取得收入的组织。</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企业所得税法第二条所称实际管理机构，是指对企业的生产经营、人员、账务、财产等实施实质性全面管理和控制的机构。</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企业所得税法第二条第三款所称机构、场所，是指在中国境内从事生产经营活动的机构、场所，包括：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（一）管理机构、营业机构、办事机构；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（二）工厂、农场、开采自然资源的场所；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（三）提供劳务的场所；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（四）从事建筑、安装、装配、修理、勘探等工程作业的场所；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（五）其他从事生产经营活动的机构、场所。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非居民企业委托营业代理人在中国境内从事生产经营活动的，包括委托单位或者个人经常代其签订合同，或者储存、交付货物等，该营业代理人视为非居民企业在中国境内设立的机构、场所。</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企业所得税法第三条所称所得，包括销售货物所得、提供劳务所得、转让财产所得、股息红利等权益性投资所得、利息所得、租金所得、特许权使用费所得、接受捐赠所得和其他所得。</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企业所得税法第三条所称来源于中国境内、境外的所得，按照以下原则确定：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（一）销售货物所得，按照交易活动发生地确定；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（二）提供劳务所得，按照劳务发生地确定；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（三）转让财产所得，不动产转让所得按照不动产所在地确定，动产转让所得按照转让动产的企业或者机构、场所所在地确定，权益性投资资产转让所得按照被投资企业所在地确定；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（四）股息、红利等权益性投资所得，按照分配所得的企业所在地确定；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（五）利息所得、租金所得、特许权使用费所得，按照负担、支付所得的企业或者机构、场所所在地确定，或者按照负担、支付所得的个人的住所地确定；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（六）其他所得，由国务院财政、税务主管部门确定。</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企业所得税法第三条所称实际联系，是指非居民企业在中国境内设立的机构、场所拥有据以取得所得的股权、债权，以及拥有、管理、控制据以取得所得的财产等。</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应纳税所得额"/>
      <w:bookmarkEnd w:id="11"/>
      <w:r>
        <w:rPr>
          <w:rFonts w:ascii="Times New Roman" w:eastAsia="黑体" w:hAnsi="Times New Roman" w:cs="黑体" w:hint="eastAsia"/>
          <w:szCs w:val="32"/>
        </w:rPr>
        <w:t>第二章　应纳税所得额</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12" w:name="第一节 一般规定"/>
      <w:bookmarkEnd w:id="12"/>
      <w:r>
        <w:rPr>
          <w:rFonts w:ascii="Times New Roman" w:eastAsia="宋体" w:hAnsi="Times New Roman" w:cs="宋体" w:hint="eastAsia"/>
          <w:sz w:val="32"/>
          <w:szCs w:val="32"/>
          <w:lang w:val="en-US"/>
        </w:rPr>
        <w:t>第一节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应纳税所得额的计算，以权责发生制为原则，属于当期的收入和费用，不论款项是否收付，均作为当期的收入和费用；不属于当期的收入和费用，即使款项已经在当期收付，均不作为当期的收入和费用。本条例和国务院财政、税务主管部门另有规定的除外。</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企业所得税法第五条所称亏损，是指企业依照企业所得税法和本条例的规定将每一纳税年度的收入总额减除不征税收入、免税收入和各项扣除后小于零的数额。</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企业所得税法第五十五条所称清算所得，是指企业的全部资产可变现价值或者交易价格减除资产净值、清算费用以及相关税费等后的余额。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方企业从被清算企业分得的剩余资产，其中相当于从被清算企业累计未分配利润和累计盈余公积中应当分得的部分，应当确认为股息所得；剩余资产减除上述股息所得后的余额，超过或者低于投资成本的部分，应当确认为投资资产转让所得或者损失。</w:t>
      </w:r>
    </w:p>
    <w:p>
      <w:pPr>
        <w:rPr>
          <w:rFonts w:ascii="Times New Roman" w:eastAsia="宋体" w:hAnsi="Times New Roman" w:cs="宋体"/>
          <w:szCs w:val="32"/>
        </w:rPr>
      </w:pPr>
    </w:p>
    <w:p>
      <w:pPr>
        <w:jc w:val="center"/>
        <w:rPr>
          <w:rFonts w:ascii="Times New Roman" w:eastAsia="宋体" w:hAnsi="Times New Roman" w:cs="宋体"/>
          <w:szCs w:val="32"/>
        </w:rPr>
      </w:pPr>
      <w:bookmarkStart w:id="16" w:name="第二节 收入"/>
      <w:bookmarkEnd w:id="16"/>
      <w:r>
        <w:rPr>
          <w:rFonts w:ascii="Times New Roman" w:eastAsia="宋体" w:hAnsi="Times New Roman" w:cs="宋体" w:hint="eastAsia"/>
          <w:sz w:val="32"/>
          <w:szCs w:val="32"/>
          <w:lang w:val="en-US"/>
        </w:rPr>
        <w:t>第二节　收　　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企业所得税法第六条所称企业取得收入的货币形式，包括现金、存款、应收账款、应收票据、准备持有至到期的债券投资以及债务的豁免等。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企业所得税法第六条所称企业取得收入的非货币形式，包括固定资产、生物资产、无形资产、股权投资、存货、不准备持有至到期的债券投资、劳务以及有关权益等。</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企业所得税法第六条所称企业以非货币形式取得的收入，应当按照公允价值确定收入额。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前款所称公允价值，是指按照市场价格确定的价值。</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企业所得税法第六条第（一）项所称销售货物收入，是指企业销售商品、产品、原材料、包装物、低值易耗品以及其他存货取得的收入。</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六条第（二）项所称提供劳务收入，是指企业从事建筑安装、修理修配、交通运输、仓储租赁、金融保险、邮电通信、咨询经纪、文化体育、科学研究、技术服务、教育培训、餐饮住宿、中介代理、卫生保健、社区服务、旅游、娱乐、加工以及其他劳务服务活动取得的收入。</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企业所得税法第六条第（三）项所称转让财产收入，是指企业转让固定资产、生物资产、无形资产、股权、债权等财产取得的收入。</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企业所得税法第六条第（四）项所称股息、红利等权益性投资收益，是指企业因权益性投资从被投资方取得的收入。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股息、红利等权益性投资收益，除国务院财政、税务主管部门另有规定外，按照被投资方作出利润分配决定的日期确认收入的实现。</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企业所得税法第六条第（五）项所称利息收入，是指企业将资金提供他人使用但不构成权益性投资，或者因他人占用本企业资金取得的收入，包括存款利息、贷款利息、债券利息、欠款利息等收入。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利息收入，按照合同约定的债务人应付利息的日期确认收入的实现。</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企业所得税法第六条第（六）项所称租金收入，是指企业提供固定资产、包装物或者其他有形资产的使用权取得的收入。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租金收入，按照合同约定的承租人应付租金的日期确认收入的实现。</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企业所得税法第六条第（七）项所称特许权使用费收入，是指企业提供专利权、非专利技术、商标权、著作权以及其他特许权的使用权取得的收入。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特许权使用费收入，按照合同约定的特许权使用人应付特许权使用费的日期确认收入的实现。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企业所得税法第六条第（八）项所称接受捐赠收入，是指企业接受的来自其他企业、组织或者个人无偿给予的货币性资产、非货币性资产。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接受捐赠收入，按照实际收到捐赠资产的日期确认收入的实现。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六条第（九）项所称其他收入，是指企业取得的除企业所得税法第六条第（一）项至第（八）项规定的收入外的其他收入，包括企业资产溢余收入、逾期未退包装物押金收入、确实无法偿付的应付款项、已作坏账损失处理后又收回的应收款项、债务重组收入、补贴收入、违约金收入、汇兑收益等。</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企业的下列生产经营业务可以分期确认收入的实现：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（一）以分期收款方式销售货物的，按照合同约定的收款日期确认收入的实现；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（二）企业受托加工制造大型机械设备、船舶、飞机，以及从事建筑、安装、装配工程业务或者提供其他劳务等，持续时间超过12个月的，按照纳税年度内完工进度或者完成的工作量确认收入的实现。</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采取产品分成方式取得收入的，按照企业分得产品的日期确认收入的实现，其收入额按照产品的公允价值确定。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企业发生非货币性资产交换，以及将货物、财产、劳务用于捐赠、偿债、赞助、集资、广告、样品、职工福利或者利润分配等用途的，应当视同销售货物、转让财产或者提供劳务，但国务院财政、税务主管部门另有规定的除外。</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企业所得税法第七条第（一）项所称财政拨款，是指各级人民政府对纳入预算管理的事业单位、社会团体等组织拨付的财政资金，但国务院和国务院财政、税务主管部门另有规定的除外。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七条第（二）项所称行政事业性收费，是指依照法律法规等有关规定，按照国务院规定程序批准，在实施社会公共管理，以及在向公民、法人或者其他组织提供特定公共服务过程中，向特定对象收取并纳入财政管理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企业所得税法第七条第（二）项所称政府性基金，是指企业依照法律、行政法规等有关规定，代政府收取的具有专项用途的财政资金。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企业所得税法第七条第（三）项所称国务院规定的其他不征税收入，是指企业取得的，由国务院财政、税务主管部门规定专项用途并经国务院批准的财政性资金。</w:t>
      </w:r>
    </w:p>
    <w:p>
      <w:pPr>
        <w:rPr>
          <w:rFonts w:ascii="Times New Roman" w:eastAsia="宋体" w:hAnsi="Times New Roman" w:cs="宋体"/>
          <w:szCs w:val="32"/>
        </w:rPr>
      </w:pPr>
    </w:p>
    <w:p>
      <w:pPr>
        <w:jc w:val="center"/>
        <w:rPr>
          <w:rFonts w:ascii="Times New Roman" w:eastAsia="宋体" w:hAnsi="Times New Roman" w:cs="宋体"/>
          <w:szCs w:val="32"/>
        </w:rPr>
      </w:pPr>
      <w:bookmarkStart w:id="32" w:name="第三节 扣除"/>
      <w:bookmarkEnd w:id="32"/>
      <w:r>
        <w:rPr>
          <w:rFonts w:ascii="Times New Roman" w:eastAsia="宋体" w:hAnsi="Times New Roman" w:cs="宋体" w:hint="eastAsia"/>
          <w:sz w:val="32"/>
          <w:szCs w:val="32"/>
          <w:lang w:val="en-US"/>
        </w:rPr>
        <w:t>第三节　扣　　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企业所得税法第八条所称有关的支出，是指与取得收入直接相关的支出。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企业所得税法第八条所称合理的支出，是指符合生产经营活动常规，应当计入当期损益或者有关资产成本的必要和正常的支出。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企业发生的支出应当区分收益性支出和资本性支出。收益性支出在发生当期直接扣除；资本性支出应当分期扣除或者计入有关资产成本，不得在发生当期直接扣除。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企业的不征税收入用于支出所形成的费用或者财产，不得扣除或者计算对应的折旧、摊销扣除。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除企业所得税法和本条例另有规定外，企业实际发生的成本、费用、税金、损失和其他支出，不得重复扣除。</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企业所得税法第八条所称成本，是指企业在生产经营活动中发生的销售成本、销货成本、业务支出以及其他耗费。</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企业所得税法第八条所称费用，是指企业在生产经营活动中发生的销售费用、管理费用和财务费用，已经计入成本的有关费用除外。</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企业所得税法第八条所称税金，是指企业发生的除企业所得税和允许抵扣的增值税以外的各项税金及其附加。</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企业所得税法第八条所称损失，是指企业在生产经营活动中发生的固定资产和存货的盘亏、毁损、报废损失，转让财产损失，呆账损失，坏账损失，自然灾害等不可抗力因素造成的损失以及其他损失。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企业发生的损失，减除责任人赔偿和保险赔款后的余额，依照国务院财政、税务主管部门的规定扣除。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企业已经作为损失处理的资产，在以后纳税年度又全部收回或者部分收回时，应当计入当期收入。</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企业所得税法第八条所称其他支出，是指除成本、费用、税金、损失外，企业在生产经营活动中发生的与生产经营活动有关的、合理的支出。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企业发生的合理的工资薪金支出，准予扣除。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工资薪金，是指企业每一纳税年度支付给在本企业任职或者受雇的员工的所有现金形式或者非现金形式的劳动报酬，包括基本工资、奖金、津贴、补贴、年终加薪、加班工资，以及与员工任职或者受雇有关的其他支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企业依照国务院有关主管部门或者省级人民政府规定的范围和标准为职工缴纳的基本养老保险费、基本医疗保险费、失业保险费、工伤保险费、生育保险费等基本社会保险费和住房公积金，准予扣除。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企业为投资者或者职工支付的补充养老保险费、补充医疗保险费，在国务院财政、税务主管部门规定的范围和标准内，准予扣除。</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除企业依照国家有关规定为特殊工种职工支付的人身安全保险费和国务院财政、税务主管部门规定可以扣除的其他商业保险费外，企业为投资者或者职工支付的商业保险费，不得扣除。</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企业在生产经营活动中发生的合理的不需要资本化的借款费用，准予扣除。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为购置、建造固定资产、无形资产和经过12个月以上的建造才能达到预定可销售状态的存货发生借款的，在有关资产购置、建造期间发生的合理的借款费用，应当作为资本性支出计入有关资产的成本，并依照本条例的规定扣除。</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企业在生产经营活动中发生的下列利息支出，准予扣除：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（一）非金融企业向金融企业借款的利息支出、金融企业的各项存款利息支出和同业拆借利息支出、企业经批准发行债券的利息支出；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（二）非金融企业向非金融企业借款的利息支出，不超过按照金融企业同期同类贷款利率计算的数额的部分。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企业在货币交易中，以及纳税年度终了时将人民币以外的货币性资产、负债按照期末即期人民币汇率中间价折算为人民币时产生的汇兑损失，除已经计入有关资产成本以及与向所有者进行利润分配相关的部分外，准予扣除。</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企业发生的职工福利费支出，不超过工资薪金总额14%的部分，准予扣除。</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企业拨缴的工会经费，不超过工资薪金总额2%的部分，准予扣除。</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除国务院财政、税务主管部门另有规定外，企业发生的职工教育经费支出，不超过工资薪金总额2.5%的部分，准予扣除；超过部分，准予在以后纳税年度结转扣除。</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企业发生的与生产经营活动有关的业务招待费支出，按照发生额的60%扣除，但最高不得超过当年销售（营业）收入的5‰。</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企业发生的符合条件的广告费和业务宣传费支出，除国务院财政、税务主管部门另有规定外，不超过当年销售（营业）收入15%的部分，准予扣除；超过部分，准予在以后纳税年度结转扣除。</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企业依照法律、行政法规有关规定提取的用于环境保护、生态恢复等方面的专项资金，准予扣除。上述专项资金提取后改变用途的，不得扣除。</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企业参加财产保险，按照规定缴纳的保险费，准予扣除。</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企业根据生产经营活动的需要租入固定资产支付的租赁费，按照以下方法扣除：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（一）以经营租赁方式租入固定资产发生的租赁费支出，按照租赁期限均匀扣除；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（二）以融资租赁方式租入固定资产发生的租赁费支出，按照规定构成融资租入固定资产价值的部分应当提取折旧费用，分期扣除。</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企业发生的合理的劳动保护支出，准予扣除。</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企业之间支付的管理费、企业内营业机构之间支付的租金和特许权使用费，以及非银行企业内营业机构之间支付的利息，不得扣除。</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非居民企业在中国境内设立的机构、场所，就其中国境外总机构发生的与该机构、场所生产经营有关的费用，能够提供总机构出具的费用汇集范围、定额、分配依据和方法等证明文件，并合理分摊的，准予扣除。</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企业所得税法第九条所称公益性捐赠，是指企业通过公益性社会组织或者县级以上人民政府及其部门，用于符合法律规定的慈善活动、公益事业的捐赠。</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本条例第五十一条所称公益性社会组织，是指同时符合下列条件的慈善组织以及其他社会组织：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（一）依法登记，具有法人资格；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（二）以发展公益事业为宗旨，且不以营利为目的；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（三）全部资产及其增值为该法人所有；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（四）收益和营运结余主要用于符合该法人设立目的的事业；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（五）终止后的剩余财产不归属任何个人或者营利组织；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（六）不经营与其设立目的无关的业务；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（七）有健全的财务会计制度；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（八）捐赠者不以任何形式参与该法人财产的分配；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（九）国务院财政、税务主管部门会同国务院民政部门等登记管理部门规定的其他条件。</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企业当年发生以及以前年度结转的公益性捐赠支出，不超过年度利润总额12%的部分，准予扣除。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年度利润总额，是指企业依照国家统一会计制度的规定计算的年度会计利润。</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企业所得税法第十条第（六）项所称赞助支出，是指企业发生的与生产经营活动无关的各种非广告性质支出。</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企业所得税法第十条第（七）项所称未经核定的准备金支出，是指不符合国务院财政、税务主管部门规定的各项资产减值准备、风险准备等准备金支出。</w:t>
      </w:r>
    </w:p>
    <w:p>
      <w:pPr>
        <w:rPr>
          <w:rFonts w:ascii="Times New Roman" w:eastAsia="宋体" w:hAnsi="Times New Roman" w:cs="宋体"/>
          <w:szCs w:val="32"/>
        </w:rPr>
      </w:pPr>
    </w:p>
    <w:p>
      <w:pPr>
        <w:jc w:val="center"/>
        <w:rPr>
          <w:rFonts w:ascii="Times New Roman" w:eastAsia="宋体" w:hAnsi="Times New Roman" w:cs="宋体"/>
          <w:szCs w:val="32"/>
        </w:rPr>
      </w:pPr>
      <w:bookmarkStart w:id="62" w:name="第四节 资产的税务处理"/>
      <w:bookmarkEnd w:id="62"/>
      <w:r>
        <w:rPr>
          <w:rFonts w:ascii="Times New Roman" w:eastAsia="宋体" w:hAnsi="Times New Roman" w:cs="宋体" w:hint="eastAsia"/>
          <w:sz w:val="32"/>
          <w:szCs w:val="32"/>
          <w:lang w:val="en-US"/>
        </w:rPr>
        <w:t>第四节　资产的税务处理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企业的各项资产，包括固定资产、生物资产、无形资产、长期待摊费用、投资资产、存货等，以历史成本为计税基础。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前款所称历史成本，是指企业取得该项资产时实际发生的支出。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企业持有各项资产期间资产增值或者减值，除国务院财政、税务主管部门规定可以确认损益外，不得调整该资产的计税基础。</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十一条所称固定资产，是指企业为生产产品、提供劳务、出租或者经营管理而持有的、使用时间超过12个月的非货币性资产，包括房屋、建筑物、机器、机械、运输工具以及其他与生产经营活动有关的设备、器具、工具等。</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固定资产按照以下方法确定计税基础：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（一）外购的固定资产，以购买价款和支付的相关税费以及直接归属于使该资产达到预定用途发生的其他支出为计税基础；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（二）自行建造的固定资产，以竣工结算前发生的支出为计税基础；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融资租入的固定资产，以租赁合同约定的付款总额和承租人在签订租赁合同过程中发生的相关费用为计税基础，租赁合同未约定付款总额的，以该资产的公允价值和承租人在签订租赁合同过程中发生的相关费用为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（四）盘盈的固定资产，以同类固定资产的重置完全价值为计税基础；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（五）通过捐赠、投资、非货币性资产交换、债务重组等方式取得的固定资产，以该资产的公允价值和支付的相关税费为计税基础；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（六）改建的固定资产，除企业所得税法第十三条第（一）项和第（二）项规定的支出外，以改建过程中发生的改建支出增加计税基础。</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固定资产按照直线法计算的折旧，准予扣除。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企业应当自固定资产投入使用月份的次月起计算折旧；停止使用的固定资产，应当自停止使用月份的次月起停止计算折旧。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企业应当根据固定资产的性质和使用情况，合理确定固定资产的预计净残值。固定资产的预计净残值一经确定，不得变更。</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除国务院财政、税务主管部门另有规定外，固定资产计算折旧的最低年限如下：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（一）房屋、建筑物，为20年；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（二）飞机、火车、轮船、机器、机械和其他生产设备，为10年；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（三）与生产经营活动有关的器具、工具、家具等，为5年；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（四）飞机、火车、轮船以外的运输工具，为4年；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（五）电子设备，为3年。</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从事开采石油、天然气等矿产资源的企业，在开始商业性生产前发生的费用和有关固定资产的折耗、折旧方法，由国务院财政、税务主管部门另行规定。</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生产性生物资产按照以下方法确定计税基础：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（一）外购的生产性生物资产，以购买价款和支付的相关税费为计税基础；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（二）通过捐赠、投资、非货币性资产交换、债务重组等方式取得的生产性生物资产，以该资产的公允价值和支付的相关税费为计税基础。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前款所称生产性生物资产，是指企业为生产农产品、提供劳务或者出租等而持有的生物资产，包括经济林、薪炭林、产畜和役畜等。</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生产性生物资产按照直线法计算的折旧，准予扣除。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企业应当自生产性生物资产投入使用月份的次月起计算折旧；停止使用的生产性生物资产，应当自停止使用月份的次月起停止计算折旧。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企业应当根据生产性生物资产的性质和使用情况，合理确定生产性生物资产的预计净残值。生产性生物资产的预计净残值一经确定，不得变更。</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生产性生物资产计算折旧的最低年限如下：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（一）林木类生产性生物资产，为10年；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（二）畜类生产性生物资产，为3年。</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企业所得税法第十二条所称无形资产，是指企业为生产产品、提供劳务、出租或者经营管理而持有的、没有实物形态的非货币性长期资产，包括专利权、商标权、著作权、土地使用权、非专利技术、商誉等。</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无形资产按照以下方法确定计税基础：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（一）外购的无形资产，以购买价款和支付的相关税费以及直接归属于使该资产达到预定用途发生的其他支出为计税基础；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（二）自行开发的无形资产，以开发过程中该资产符合资本化条件后至达到预定用途前发生的支出为计税基础；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（三）通过捐赠、投资、非货币性资产交换、债务重组等方式取得的无形资产，以该资产的公允价值和支付的相关税费为计税基础。</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无形资产按照直线法计算的摊销费用，准予扣除。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无形资产的摊销年限不得低于10年。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作为投资或者受让的无形资产，有关法律规定或者合同约定了使用年限的，可以按照规定或者约定的使用年限分期摊销。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外购商誉的支出，在企业整体转让或者清算时，准予扣除。</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企业所得税法第十三条第（一）项和第（二）项所称固定资产的改建支出，是指改变房屋或者建筑物结构、延长使用年限等发生的支出。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企业所得税法第十三条第（一）项规定的支出，按照固定资产预计尚可使用年限分期摊销；第（二）项规定的支出，按照合同约定的剩余租赁期限分期摊销。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改建的固定资产延长使用年限的，除企业所得税法第十三条第（一）项和第（二）项规定外，应当适当延长折旧年限。</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企业所得税法第十三条第（三）项所称固定资产的大修理支出，是指同时符合下列条件的支出：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（一）修理支出达到取得固定资产时的计税基础50%以上；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（二）修理后固定资产的使用年限延长2年以上。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企业所得税法第十三条第（三）项规定的支出，按照固定资产尚可使用年限分期摊销。</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企业所得税法第十三条第（四）项所称其他应当作为长期待摊费用的支出，自支出发生月份的次月起，分期摊销，摊销年限不得低于3年。</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企业所得税法第十四条所称投资资产，是指企业对外进行权益性投资和债权性投资形成的资产。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企业在转让或者处置投资资产时，投资资产的成本，准予扣除。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投资资产按照以下方法确定成本：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（一）通过支付现金方式取得的投资资产，以购买价款为成本；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（二）通过支付现金以外的方式取得的投资资产，以该资产的公允价值和支付的相关税费为成本。</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企业所得税法第十五条所称存货，是指企业持有以备出售的产品或者商品、处在生产过程中的在产品、在生产或者提供劳务过程中耗用的材料和物料等。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存货按照以下方法确定成本：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（一）通过支付现金方式取得的存货，以购买价款和支付的相关税费为成本；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（二）通过支付现金以外的方式取得的存货，以该存货的公允价值和支付的相关税费为成本；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（三）生产性生物资产收获的农产品，以产出或者采收过程中发生的材料费、人工费和分摊的间接费用等必要支出为成本。</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企业使用或者销售的存货的成本计算方法，可以在先进先出法、加权平均法、个别计价法中选用一种。计价方法一经选用，不得随意变更。</w:t>
      </w:r>
    </w:p>
    <w:p>
      <w:pPr>
        <w:ind w:firstLine="640" w:firstLineChars="200"/>
        <w:rPr>
          <w:rFonts w:ascii="Times New Roman" w:hAnsi="Times New Roman" w:cs="仿宋_GB2312"/>
          <w:sz w:val="32"/>
          <w:szCs w:val="32"/>
        </w:rPr>
      </w:pPr>
      <w:bookmarkStart w:id="81" w:name="第七十四条"/>
      <w:bookmarkEnd w:id="81"/>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企业所得税法第十六条所称资产的净值和第十九条所称财产净值，是指有关资产、财产的计税基础减除已经按照规定扣除的折旧、折耗、摊销、准备金等后的余额。</w:t>
      </w:r>
    </w:p>
    <w:p>
      <w:pPr>
        <w:ind w:firstLine="640" w:firstLineChars="200"/>
        <w:rPr>
          <w:rFonts w:ascii="Times New Roman" w:hAnsi="Times New Roman" w:cs="仿宋_GB2312"/>
          <w:sz w:val="32"/>
          <w:szCs w:val="32"/>
        </w:rPr>
      </w:pPr>
      <w:bookmarkStart w:id="82" w:name="第七十五条"/>
      <w:bookmarkEnd w:id="82"/>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除国务院财政、税务主管部门另有规定外，企业在重组过程中，应当在交易发生时确认有关资产的转让所得或者损失，相关资产应当按照交易价格重新确定计税基础。</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三章 应纳税额"/>
      <w:bookmarkEnd w:id="83"/>
      <w:r>
        <w:rPr>
          <w:rFonts w:ascii="Times New Roman" w:eastAsia="黑体" w:hAnsi="Times New Roman" w:cs="黑体" w:hint="eastAsia"/>
          <w:szCs w:val="32"/>
        </w:rPr>
        <w:t>第三章　应纳税额</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企业所得税法第二十二条规定的应纳税额的计算公式为：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应纳税额＝应纳税所得额×适用税率－减免税额－抵免税额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公式中的减免税额和抵免税额，是指依照企业所得税法和国务院的税收优惠规定减征、免征和抵免的应纳税额。</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企业所得税法第二十三条所称已在境外缴纳的所得税税额，是指企业来源于中国境外的所得依照中国境外税收法律以及相关规定应当缴纳并已经实际缴纳的企业所得税性质的税款。</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三条所称抵免限额，是指企业来源于中国境外的所得，依照企业所得税法和本条例的规定计算的应纳税额。除国务院财政、税务主管部门另有规定外，该抵免限额应当分国（地区）不分项计算，计算公式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抵免限额＝中国境内、境外所得依照企业所得税法和本条例的规定计算的应纳税总额×来源于某国（地区）的应纳税所得额÷中国境内、境外应纳税所得总额</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企业所得税法第二十三条所称5个年度，是指从企业取得的来源于中国境外的所得，已经在中国境外缴纳的企业所得税性质的税额超过抵免限额的当年的次年起连续5个纳税年度。</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企业所得税法第二十四条所称直接控制，是指居民企业直接持有外国企业20%以上股份。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企业所得税法第二十四条所称间接控制，是指居民企业以间接持股方式持有外国企业20%以上股份，具体认定办法由国务院财政、税务主管部门另行制定。</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企业依照企业所得税法第二十三条、第二十四条的规定抵免企业所得税税额时，应当提供中国境外税务机关出具的税款所属年度的有关纳税凭证。</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四章 税收优惠"/>
      <w:bookmarkEnd w:id="90"/>
      <w:r>
        <w:rPr>
          <w:rFonts w:ascii="Times New Roman" w:eastAsia="黑体" w:hAnsi="Times New Roman" w:cs="黑体" w:hint="eastAsia"/>
          <w:szCs w:val="32"/>
        </w:rPr>
        <w:t>第四章　税收优惠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企业所得税法第二十六条第（一）项所称国债利息收入，是指企业持有国务院财政部门发行的国债取得的利息收入。</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六条第（二）项所称符合条件的居民企业之间的股息、红利等权益性投资收益，是指居民企业直接投资于其他居民企业取得的投资收益。企业所得税法第二十六条第（二）项和第（三）项所称股息、红利等权益性投资收益，不包括连续持有居民企业公开发行并上市流通的股票不足12个月取得的投资收益。</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企业所得税法第二十六条第（四）项所称符合条件的非营利组织，是指同时符合下列条件的组织：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（一）依法履行非营利组织登记手续；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（二）从事公益性或者非营利性活动；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（三）取得的收入除用于与该组织有关的、合理的支出外，全部用于登记核定或者章程规定的公益性或者非营利性事业；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（四）财产及其孳息不用于分配；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（五）按照登记核定或者章程规定，该组织注销后的剩余财产用于公益性或者非营利性目的，或者由登记管理机关转赠给与该组织性质、宗旨相同的组织，并向社会公告；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（六）投入人对投入该组织的财产不保留或者享有任何财产权利；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（七）工作人员工资福利开支控制在规定的比例内，不变相分配该组织的财产。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前款规定的非营利组织的认定管理办法由国务院财政、税务主管部门会同国务院有关部门制定。</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企业所得税法第二十六条第（四）项所称符合条件的非营利组织的收入，不包括非营利组织从事营利性活动取得的收入，但国务院财政、税务主管部门另有规定的除外。</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企业所得税法第二十七条第（一）项规定的企业从事农、林、牧、渔业项目的所得，可以免征、减征企业所得税，是指：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（一）企业从事下列项目的所得，免征企业所得税：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1.蔬菜、谷物、薯类、油料、豆类、棉花、麻类、糖料、水果、坚果的种植；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2.农作物新品种的选育；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3.中药材的种植；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4.林木的培育和种植；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5.牲畜、家禽的饲养；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6.林产品的采集；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7.灌溉、农产品初加工、兽医、农技推广、农机作业和维修等农、林、牧、渔服务业项目；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8.远洋捕捞。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（二）企业从事下列项目的所得，减半征收企业所得税：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1.花卉、茶以及其他饮料作物和香料作物的种植；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2.海水养殖、内陆养殖。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企业从事国家限制和禁止发展的项目，不得享受本条规定的企业所得税优惠。</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企业所得税法第二十七条第（二）项所称国家重点扶持的公共基础设施项目，是指《公共基础设施项目企业所得税优惠目录》规定的港口码头、机场、铁路、公路、城市公共交通、电力、水利等项目。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企业从事前款规定的国家重点扶持的公共基础设施项目的投资经营的所得，自项目取得第一笔生产经营收入所属纳税年度起，第一年至第三年免征企业所得税，第四年至第六年减半征收企业所得税。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企业承包经营、承包建设和内部自建自用本条规定的项目，不得享受本条规定的企业所得税优惠。</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七条第（三）项所称符合条件的环境保护、节能节水项目，包括公共污水处理、公共垃圾处理、沼气综合开发利用、节能减排技术改造、海水淡化等。项目的具体条件和范围由国务院财政、税务主管部门商国务院有关部门制订，报国务院批准后公布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企业从事前款规定的符合条件的环境保护、节能节水项目的所得，自项目取得第一笔生产经营收入所属纳税年度起，第一年至第三年免征企业所得税，第四年至第六年减半征收企业所得税。</w:t>
      </w:r>
    </w:p>
    <w:p>
      <w:pPr>
        <w:ind w:firstLine="640" w:firstLineChars="200"/>
        <w:rPr>
          <w:rFonts w:ascii="Times New Roman" w:hAnsi="Times New Roman" w:cs="仿宋_GB2312"/>
          <w:sz w:val="32"/>
          <w:szCs w:val="32"/>
        </w:rPr>
      </w:pPr>
      <w:bookmarkStart w:id="98" w:name="第八十九条"/>
      <w:bookmarkEnd w:id="98"/>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依照本条例第八十七条和第八十八条规定享受减免税优惠的项目，在减免税期限内转让的，受让方自受让之日起，可以在剩余期限内享受规定的减免税优惠；减免税期限届满后转让的，受让方不得就该项目重复享受减免税优惠。</w:t>
      </w:r>
    </w:p>
    <w:p>
      <w:pPr>
        <w:ind w:firstLine="640" w:firstLineChars="200"/>
        <w:rPr>
          <w:rFonts w:ascii="Times New Roman" w:hAnsi="Times New Roman" w:cs="仿宋_GB2312"/>
          <w:sz w:val="32"/>
          <w:szCs w:val="32"/>
        </w:rPr>
      </w:pPr>
      <w:bookmarkStart w:id="99" w:name="第九十条"/>
      <w:bookmarkEnd w:id="99"/>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七条第（四）项所称符合条件的技术转让所得免征、减征企业所得税，是指一个纳税年度内，居民企业技术转让所得不超过500万元的部分，免征企业所得税；超过500万元的部分，减半征收企业所得税。</w:t>
      </w:r>
    </w:p>
    <w:p>
      <w:pPr>
        <w:ind w:firstLine="640" w:firstLineChars="200"/>
        <w:rPr>
          <w:rFonts w:ascii="Times New Roman" w:hAnsi="Times New Roman" w:cs="仿宋_GB2312"/>
          <w:sz w:val="32"/>
          <w:szCs w:val="32"/>
        </w:rPr>
      </w:pPr>
      <w:bookmarkStart w:id="100" w:name="第九十一条"/>
      <w:bookmarkEnd w:id="100"/>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非居民企业取得企业所得税法第二十七条第（五）项规定的所得，减按10%的税率征收企业所得税。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下列所得可以免征企业所得税：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（一）外国政府向中国政府提供贷款取得的利息所得；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（二）国际金融组织向中国政府和居民企业提供优惠贷款取得的利息所得；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（三）经国务院批准的其他所得。</w:t>
      </w:r>
    </w:p>
    <w:p>
      <w:pPr>
        <w:ind w:firstLine="640" w:firstLineChars="200"/>
        <w:rPr>
          <w:rFonts w:ascii="Times New Roman" w:hAnsi="Times New Roman" w:cs="仿宋_GB2312"/>
          <w:sz w:val="32"/>
          <w:szCs w:val="32"/>
        </w:rPr>
      </w:pPr>
      <w:bookmarkStart w:id="101" w:name="第九十二条"/>
      <w:bookmarkEnd w:id="101"/>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企业所得税法第二十八条第一款所称符合条件的小型微利企业，是指从事国家非限制和禁止行业，并符合下列条件的企业：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（一）工业企业，年度应纳税所得额不超过30万元，从业人数不超过100人，资产总额不超过3000万元；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（二）其他企业，年度应纳税所得额不超过30万元，从业人数不超过80人，资产总额不超过1000万元。</w:t>
      </w:r>
    </w:p>
    <w:p>
      <w:pPr>
        <w:ind w:firstLine="640" w:firstLineChars="200"/>
        <w:rPr>
          <w:rFonts w:ascii="Times New Roman" w:hAnsi="Times New Roman" w:cs="仿宋_GB2312"/>
          <w:sz w:val="32"/>
          <w:szCs w:val="32"/>
        </w:rPr>
      </w:pPr>
      <w:bookmarkStart w:id="102" w:name="第九十三条"/>
      <w:bookmarkEnd w:id="102"/>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企业所得税法第二十八条第二款所称国家需要重点扶持的高新技术企业，是指拥有核心自主知识产权，并同时符合下列条件的企业：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（一）产品（服务）属于《国家重点支持的高新技术领域》规定的范围；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（二）研究开发费用占销售收入的比例不低于规定比例；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（三）高新技术产品（服务）收入占企业总收入的比例不低于规定比例；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（四）科技人员占企业职工总数的比例不低于规定比例；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（五）高新技术企业认定管理办法规定的其他条件。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《国家重点支持的高新技术领域》和高新技术企业认定管理办法由国务院工业和信息化、科技、财政、税务主管部门商国务院有关部门制订，报国务院批准后公布施行。</w:t>
      </w:r>
    </w:p>
    <w:p>
      <w:pPr>
        <w:ind w:firstLine="640" w:firstLineChars="200"/>
        <w:rPr>
          <w:rFonts w:ascii="Times New Roman" w:hAnsi="Times New Roman" w:cs="仿宋_GB2312"/>
          <w:sz w:val="32"/>
          <w:szCs w:val="32"/>
        </w:rPr>
      </w:pPr>
      <w:bookmarkStart w:id="103" w:name="第九十四条"/>
      <w:bookmarkEnd w:id="103"/>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企业所得税法第二十九条所称民族自治地方，是指依照《中华人民共和国民族区域自治法》的规定，实行民族区域自治的自治区、自治州、自治县。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对民族自治地方内国家限制和禁止行业的企业，不得减征或者免征企业所得税。</w:t>
      </w:r>
    </w:p>
    <w:p>
      <w:pPr>
        <w:ind w:firstLine="640" w:firstLineChars="200"/>
        <w:rPr>
          <w:rFonts w:ascii="Times New Roman" w:hAnsi="Times New Roman" w:cs="仿宋_GB2312"/>
          <w:sz w:val="32"/>
          <w:szCs w:val="32"/>
        </w:rPr>
      </w:pPr>
      <w:bookmarkStart w:id="104" w:name="第九十五条"/>
      <w:bookmarkEnd w:id="104"/>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十条第（一）项所称研究开发费用的加计扣除，是指企业为开发新技术、新产品、新工艺发生的研究开发费用，未形成无形资产计入当期损益的，在按照规定据实扣除的基础上，按照研究开发费用的50%加计扣除；形成无形资产的，按照无形资产成本的150%摊销。</w:t>
      </w:r>
    </w:p>
    <w:p>
      <w:pPr>
        <w:ind w:firstLine="640" w:firstLineChars="200"/>
        <w:rPr>
          <w:rFonts w:ascii="Times New Roman" w:hAnsi="Times New Roman" w:cs="仿宋_GB2312"/>
          <w:sz w:val="32"/>
          <w:szCs w:val="32"/>
        </w:rPr>
      </w:pPr>
      <w:bookmarkStart w:id="105" w:name="第九十六条"/>
      <w:bookmarkEnd w:id="105"/>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十条第（二）项所称企业安置残疾人员所支付的工资的加计扣除，是指企业安置残疾人员的，在按照支付给残疾职工工资据实扣除的基础上，按照支付给残疾职工工资的100%加计扣除。残疾人员的范围适用《中华人民共和国残疾人保障法》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企业所得税法第三十条第（二）项所称企业安置国家鼓励安置的其他就业人员所支付的工资的加计扣除办法，由国务院另行规定。</w:t>
      </w:r>
    </w:p>
    <w:p>
      <w:pPr>
        <w:ind w:firstLine="640" w:firstLineChars="200"/>
        <w:rPr>
          <w:rFonts w:ascii="Times New Roman" w:hAnsi="Times New Roman" w:cs="仿宋_GB2312"/>
          <w:sz w:val="32"/>
          <w:szCs w:val="32"/>
        </w:rPr>
      </w:pPr>
      <w:bookmarkStart w:id="106" w:name="第九十七条"/>
      <w:bookmarkEnd w:id="106"/>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十一条所称抵扣应纳税所得额，是指创业投资企业采取股权投资方式投资于未上市的中小高新技术企业2年以上的，可以按照其投资额的70%在股权持有满2年的当年抵扣该创业投资企业的应纳税所得额；当年不足抵扣的，可以在以后纳税年度结转抵扣。</w:t>
      </w:r>
    </w:p>
    <w:p>
      <w:pPr>
        <w:ind w:firstLine="640" w:firstLineChars="200"/>
        <w:rPr>
          <w:rFonts w:ascii="Times New Roman" w:hAnsi="Times New Roman" w:cs="仿宋_GB2312"/>
          <w:sz w:val="32"/>
          <w:szCs w:val="32"/>
        </w:rPr>
      </w:pPr>
      <w:bookmarkStart w:id="107" w:name="第九十八条"/>
      <w:bookmarkEnd w:id="107"/>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企业所得税法第三十二条所称可以采取缩短折旧年限或者采取加速折旧的方法的固定资产，包括：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（一）由于技术进步，产品更新换代较快的固定资产；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（二）常年处于强震动、高腐蚀状态的固定资产。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采取缩短折旧年限方法的，最低折旧年限不得低于本条例第六十条规定折旧年限的60%；采取加速折旧方法的，可以采取双倍余额递减法或者年数总和法。</w:t>
      </w:r>
    </w:p>
    <w:p>
      <w:pPr>
        <w:ind w:firstLine="640" w:firstLineChars="200"/>
        <w:rPr>
          <w:rFonts w:ascii="Times New Roman" w:hAnsi="Times New Roman" w:cs="仿宋_GB2312"/>
          <w:sz w:val="32"/>
          <w:szCs w:val="32"/>
        </w:rPr>
      </w:pPr>
      <w:bookmarkStart w:id="108" w:name="第九十九条"/>
      <w:bookmarkEnd w:id="108"/>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十三条所称减计收入，是指企业以《资源综合利用企业所得税优惠目录》规定的资源作为主要原材料，生产国家非限制和禁止并符合国家和行业相关标准的产品取得的收入，减按90%计入收入总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前款所称原材料占生产产品材料的比例不得低于《资源综合利用企业所得税优惠目录》规定的标准。</w:t>
      </w:r>
    </w:p>
    <w:p>
      <w:pPr>
        <w:ind w:firstLine="640" w:firstLineChars="200"/>
        <w:rPr>
          <w:rFonts w:ascii="Times New Roman" w:hAnsi="Times New Roman" w:cs="仿宋_GB2312"/>
          <w:sz w:val="32"/>
          <w:szCs w:val="32"/>
        </w:rPr>
      </w:pPr>
      <w:bookmarkStart w:id="109" w:name="第一百条"/>
      <w:bookmarkEnd w:id="109"/>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十四条所称税额抵免，是指企业购置并实际使用《环境保护专用设备企业所得税优惠目录》、《节能节水专用设备企业所得税优惠目录》和《安全生产专用设备企业所得税优惠目录》规定的环境保护、节能节水、安全生产等专用设备的，该专用设备的投资额的10%可以从企业当年的应纳税额中抵免；当年不足抵免的，可以在以后5个纳税年度结转抵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受前款规定的企业所得税优惠的企业，应当实际购置并自身实际投入使用前款规定的专用设备；企业购置上述专用设备在5年内转让、出租的，应当停止享受企业所得税优惠，并补缴已经抵免的企业所得税税款。</w:t>
      </w:r>
    </w:p>
    <w:p>
      <w:pPr>
        <w:ind w:firstLine="640" w:firstLineChars="200"/>
        <w:rPr>
          <w:rFonts w:ascii="Times New Roman" w:hAnsi="Times New Roman" w:cs="仿宋_GB2312"/>
          <w:sz w:val="32"/>
          <w:szCs w:val="32"/>
        </w:rPr>
      </w:pPr>
      <w:bookmarkStart w:id="110" w:name="第一百零一条"/>
      <w:bookmarkEnd w:id="110"/>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本章第八十七条、第九十九条、第一百条规定的企业所得税优惠目录，由国务院财政、税务主管部门商国务院有关部门制订，报国务院批准后公布施行。</w:t>
      </w:r>
    </w:p>
    <w:p>
      <w:pPr>
        <w:ind w:firstLine="640" w:firstLineChars="200"/>
        <w:rPr>
          <w:rFonts w:ascii="Times New Roman" w:hAnsi="Times New Roman" w:cs="仿宋_GB2312"/>
          <w:sz w:val="32"/>
          <w:szCs w:val="32"/>
        </w:rPr>
      </w:pPr>
      <w:bookmarkStart w:id="111" w:name="第一百零二条"/>
      <w:bookmarkEnd w:id="111"/>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企业同时从事适用不同企业所得税待遇的项目的，其优惠项目应当单独计算所得，并合理分摊企业的期间费用；没有单独计算的，不得享受企业所得税优惠。</w:t>
      </w:r>
    </w:p>
    <w:p>
      <w:pPr>
        <w:rPr>
          <w:rFonts w:ascii="Times New Roman" w:eastAsia="宋体" w:hAnsi="Times New Roman" w:cs="宋体"/>
          <w:szCs w:val="32"/>
        </w:rPr>
      </w:pPr>
    </w:p>
    <w:p>
      <w:pPr>
        <w:jc w:val="center"/>
        <w:rPr>
          <w:rFonts w:ascii="Times New Roman" w:eastAsia="黑体" w:hAnsi="Times New Roman" w:cs="黑体"/>
          <w:szCs w:val="32"/>
        </w:rPr>
      </w:pPr>
      <w:bookmarkStart w:id="112" w:name="第五章 源泉扣缴"/>
      <w:bookmarkEnd w:id="112"/>
      <w:r>
        <w:rPr>
          <w:rFonts w:ascii="Times New Roman" w:eastAsia="黑体" w:hAnsi="Times New Roman" w:cs="黑体" w:hint="eastAsia"/>
          <w:szCs w:val="32"/>
        </w:rPr>
        <w:t>第五章　源泉扣缴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3" w:name="第一百零三条"/>
      <w:bookmarkEnd w:id="113"/>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依照企业所得税法对非居民企业应当缴纳的企业所得税实行源泉扣缴的，应当依照企业所得税法第十九条的规定计算应纳税所得额。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企业所得税法第十九条所称收入全额，是指非居民企业向支付人收取的全部价款和价外费用。</w:t>
      </w:r>
    </w:p>
    <w:p>
      <w:pPr>
        <w:ind w:firstLine="640" w:firstLineChars="200"/>
        <w:rPr>
          <w:rFonts w:ascii="Times New Roman" w:hAnsi="Times New Roman" w:cs="仿宋_GB2312"/>
          <w:sz w:val="32"/>
          <w:szCs w:val="32"/>
        </w:rPr>
      </w:pPr>
      <w:bookmarkStart w:id="114" w:name="第一百零四条"/>
      <w:bookmarkEnd w:id="114"/>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企业所得税法第三十七条所称支付人，是指依照有关法律规定或者合同约定对非居民企业直接负有支付相关款项义务的单位或者个人。</w:t>
      </w:r>
    </w:p>
    <w:p>
      <w:pPr>
        <w:ind w:firstLine="640" w:firstLineChars="200"/>
        <w:rPr>
          <w:rFonts w:ascii="Times New Roman" w:hAnsi="Times New Roman" w:cs="仿宋_GB2312"/>
          <w:sz w:val="32"/>
          <w:szCs w:val="32"/>
        </w:rPr>
      </w:pPr>
      <w:bookmarkStart w:id="115" w:name="第一百零五条"/>
      <w:bookmarkEnd w:id="115"/>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企业所得税法第三十七条所称支付，包括现金支付、汇拨支付、转账支付和权益兑价支付等货币支付和非货币支付。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企业所得税法第三十七条所称到期应支付的款项，是指支付人按照权责发生制原则应当计入相关成本、费用的应付款项。</w:t>
      </w:r>
    </w:p>
    <w:p>
      <w:pPr>
        <w:ind w:firstLine="640" w:firstLineChars="200"/>
        <w:rPr>
          <w:rFonts w:ascii="Times New Roman" w:hAnsi="Times New Roman" w:cs="仿宋_GB2312"/>
          <w:sz w:val="32"/>
          <w:szCs w:val="32"/>
        </w:rPr>
      </w:pPr>
      <w:bookmarkStart w:id="116" w:name="第一百零六条"/>
      <w:bookmarkEnd w:id="116"/>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企业所得税法第三十八条规定的可以指定扣缴义务人的情形，包括：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（一）预计工程作业或者提供劳务期限不足一个纳税年度，且有证据表明不履行纳税义务的；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（二）没有办理税务登记或者临时税务登记，且未委托中国境内的代理人履行纳税义务的；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（三）未按照规定期限办理企业所得税纳税申报或者预缴申报的。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前款规定的扣缴义务人，由县级以上税务机关指定，并同时告知扣缴义务人所扣税款的计算依据、计算方法、扣缴期限和扣缴方式。</w:t>
      </w:r>
    </w:p>
    <w:p>
      <w:pPr>
        <w:ind w:firstLine="640" w:firstLineChars="200"/>
        <w:rPr>
          <w:rFonts w:ascii="Times New Roman" w:hAnsi="Times New Roman" w:cs="仿宋_GB2312"/>
          <w:sz w:val="32"/>
          <w:szCs w:val="32"/>
        </w:rPr>
      </w:pPr>
      <w:bookmarkStart w:id="117" w:name="第一百零七条"/>
      <w:bookmarkEnd w:id="117"/>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企业所得税法第三十九条所称所得发生地，是指依照本条例第七条规定的原则确定的所得发生地。在中国境内存在多处所得发生地的，由纳税人选择其中之一申报缴纳企业所得税。</w:t>
      </w:r>
    </w:p>
    <w:p>
      <w:pPr>
        <w:ind w:firstLine="640" w:firstLineChars="200"/>
        <w:rPr>
          <w:rFonts w:ascii="Times New Roman" w:hAnsi="Times New Roman" w:cs="仿宋_GB2312"/>
          <w:sz w:val="32"/>
          <w:szCs w:val="32"/>
        </w:rPr>
      </w:pPr>
      <w:bookmarkStart w:id="118" w:name="第一百零八条"/>
      <w:bookmarkEnd w:id="118"/>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企业所得税法第三十九条所称该纳税人在中国境内其他收入，是指该纳税人在中国境内取得的其他各种来源的收入。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税务机关在追缴该纳税人应纳税款时，应当将追缴理由、追缴数额、缴纳期限和缴纳方式等告知该纳税人。</w:t>
      </w:r>
    </w:p>
    <w:p>
      <w:pPr>
        <w:rPr>
          <w:rFonts w:ascii="Times New Roman" w:eastAsia="宋体" w:hAnsi="Times New Roman" w:cs="宋体"/>
          <w:szCs w:val="32"/>
        </w:rPr>
      </w:pPr>
    </w:p>
    <w:p>
      <w:pPr>
        <w:jc w:val="center"/>
        <w:rPr>
          <w:rFonts w:ascii="Times New Roman" w:eastAsia="黑体" w:hAnsi="Times New Roman" w:cs="黑体"/>
          <w:szCs w:val="32"/>
        </w:rPr>
      </w:pPr>
      <w:bookmarkStart w:id="119" w:name="第六章 特别纳税调整"/>
      <w:bookmarkEnd w:id="119"/>
      <w:r>
        <w:rPr>
          <w:rFonts w:ascii="Times New Roman" w:eastAsia="黑体" w:hAnsi="Times New Roman" w:cs="黑体" w:hint="eastAsia"/>
          <w:szCs w:val="32"/>
        </w:rPr>
        <w:t>第六章　特别纳税调整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0" w:name="第一百零九条"/>
      <w:bookmarkEnd w:id="120"/>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企业所得税法第四十一条所称关联方，是指与企业有下列关联关系之一的企业、其他组织或者个人：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（一）在资金、经营、购销等方面存在直接或者间接的控制关系；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（二）直接或者间接地同为第三者控制；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（三）在利益上具有相关联的其他关系。</w:t>
      </w:r>
    </w:p>
    <w:p>
      <w:pPr>
        <w:ind w:firstLine="640" w:firstLineChars="200"/>
        <w:rPr>
          <w:rFonts w:ascii="Times New Roman" w:hAnsi="Times New Roman" w:cs="仿宋_GB2312"/>
          <w:sz w:val="32"/>
          <w:szCs w:val="32"/>
        </w:rPr>
      </w:pPr>
      <w:bookmarkStart w:id="121" w:name="第一百一十条"/>
      <w:bookmarkEnd w:id="121"/>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企业所得税法第四十一条所称独立交易原则，是指没有关联关系的交易各方，按照公平成交价格和营业常规进行业务往来遵循的原则。</w:t>
      </w:r>
    </w:p>
    <w:p>
      <w:pPr>
        <w:ind w:firstLine="640" w:firstLineChars="200"/>
        <w:rPr>
          <w:rFonts w:ascii="Times New Roman" w:hAnsi="Times New Roman" w:cs="仿宋_GB2312"/>
          <w:sz w:val="32"/>
          <w:szCs w:val="32"/>
        </w:rPr>
      </w:pPr>
      <w:bookmarkStart w:id="122" w:name="第一百一十一条"/>
      <w:bookmarkEnd w:id="122"/>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企业所得税法第四十一条所称合理方法，包括：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（一）可比非受控价格法，是指按照没有关联关系的交易各方进行相同或者类似业务往来的价格进行定价的方法；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（二）再销售价格法，是指按照从关联方购进商品再销售给没有关联关系的交易方的价格，减除相同或者类似业务的销售毛利进行定价的方法；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（三）成本加成法，是指按照成本加合理的费用和利润进行定价的方法；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（四）交易净利润法，是指按照没有关联关系的交易各方进行相同或者类似业务往来取得的净利润水平确定利润的方法；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（五）利润分割法，是指将企业与其关联方的合并利润或者亏损在各方之间采用合理标准进行分配的方法；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（六）其他符合独立交易原则的方法。</w:t>
      </w:r>
    </w:p>
    <w:p>
      <w:pPr>
        <w:ind w:firstLine="640" w:firstLineChars="200"/>
        <w:rPr>
          <w:rFonts w:ascii="Times New Roman" w:hAnsi="Times New Roman" w:cs="仿宋_GB2312"/>
          <w:sz w:val="32"/>
          <w:szCs w:val="32"/>
        </w:rPr>
      </w:pPr>
      <w:bookmarkStart w:id="123" w:name="第一百一十二条"/>
      <w:bookmarkEnd w:id="123"/>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企业可以依照企业所得税法第四十一条第二款的规定，按照独立交易原则与其关联方分摊共同发生的成本，达成成本分摊协议。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企业与其关联方分摊成本时，应当按照成本与预期收益相配比的原则进行分摊，并在税务机关规定的期限内，按照税务机关的要求报送有关资料。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企业与其关联方分摊成本时违反本条第一款、第二款规定的，其自行分摊的成本不得在计算应纳税所得额时扣除。</w:t>
      </w:r>
    </w:p>
    <w:p>
      <w:pPr>
        <w:ind w:firstLine="640" w:firstLineChars="200"/>
        <w:rPr>
          <w:rFonts w:ascii="Times New Roman" w:hAnsi="Times New Roman" w:cs="仿宋_GB2312"/>
          <w:sz w:val="32"/>
          <w:szCs w:val="32"/>
        </w:rPr>
      </w:pPr>
      <w:bookmarkStart w:id="124" w:name="第一百一十三条"/>
      <w:bookmarkEnd w:id="124"/>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企业所得税法第四十二条所称预约定价安排，是指企业就其未来年度关联交易的定价原则和计算方法，向税务机关提出申请，与税务机关按照独立交易原则协商、确认后达成的协议。</w:t>
      </w:r>
    </w:p>
    <w:p>
      <w:pPr>
        <w:ind w:firstLine="640" w:firstLineChars="200"/>
        <w:rPr>
          <w:rFonts w:ascii="Times New Roman" w:hAnsi="Times New Roman" w:cs="仿宋_GB2312"/>
          <w:sz w:val="32"/>
          <w:szCs w:val="32"/>
        </w:rPr>
      </w:pPr>
      <w:bookmarkStart w:id="125" w:name="第一百一十四条"/>
      <w:bookmarkEnd w:id="125"/>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企业所得税法第四十三条所称相关资料，包括：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（一）与关联业务往来有关的价格、费用的制定标准、计算方法和说明等同期资料；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（二）关联业务往来所涉及的财产、财产使用权、劳务等的再销售（转让）价格或者最终销售（转让）价格的相关资料；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（三）与关联业务调查有关的其他企业应当提供的与被调查企业可比的产品价格、定价方式以及利润水平等资料；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（四）其他与关联业务往来有关的资料。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企业所得税法第四十三条所称与关联业务调查有关的其他企业，是指与被调查企业在生产经营内容和方式上相类似的企业。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企业应当在税务机关规定的期限内提供与关联业务往来有关的价格、费用的制定标准、计算方法和说明等资料。关联方以及与关联业务调查有关的其他企业应当在税务机关与其约定的期限内提供相关资料。</w:t>
      </w:r>
    </w:p>
    <w:p>
      <w:pPr>
        <w:ind w:firstLine="640" w:firstLineChars="200"/>
        <w:rPr>
          <w:rFonts w:ascii="Times New Roman" w:hAnsi="Times New Roman" w:cs="仿宋_GB2312"/>
          <w:sz w:val="32"/>
          <w:szCs w:val="32"/>
        </w:rPr>
      </w:pPr>
      <w:bookmarkStart w:id="126" w:name="第一百一十五条"/>
      <w:bookmarkEnd w:id="126"/>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税务机关依照企业所得税法第四十四条的规定核定企业的应纳税所得额时，可以采用下列方法：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（一）参照同类或者类似企业的利润率水平核定；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（二）按照企业成本加合理的费用和利润的方法核定；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（三）按照关联企业集团整体利润的合理比例核定；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（四）按照其他合理方法核定。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企业对税务机关按照前款规定的方法核定的应纳税所得额有异议的，应当提供相关证据，经税务机关认定后，调整核定的应纳税所得额。</w:t>
      </w:r>
    </w:p>
    <w:p>
      <w:pPr>
        <w:ind w:firstLine="640" w:firstLineChars="200"/>
        <w:rPr>
          <w:rFonts w:ascii="Times New Roman" w:hAnsi="Times New Roman" w:cs="仿宋_GB2312"/>
          <w:sz w:val="32"/>
          <w:szCs w:val="32"/>
        </w:rPr>
      </w:pPr>
      <w:bookmarkStart w:id="127" w:name="第一百一十六条"/>
      <w:bookmarkEnd w:id="127"/>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企业所得税法第四十五条所称中国居民，是指根据《中华人民共和国个人所得税法》的规定，就其从中国境内、境外取得的所得在中国缴纳个人所得税的个人。</w:t>
      </w:r>
    </w:p>
    <w:p>
      <w:pPr>
        <w:ind w:firstLine="640" w:firstLineChars="200"/>
        <w:rPr>
          <w:rFonts w:ascii="Times New Roman" w:hAnsi="Times New Roman" w:cs="仿宋_GB2312"/>
          <w:sz w:val="32"/>
          <w:szCs w:val="32"/>
        </w:rPr>
      </w:pPr>
      <w:bookmarkStart w:id="128" w:name="第一百一十七条"/>
      <w:bookmarkEnd w:id="128"/>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企业所得税法第四十五条所称控制，包括：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（一）居民企业或者中国居民直接或者间接单一持有外国企业10%以上有表决权股份，且由其共同持有该外国企业50%以上股份；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（二）居民企业，或者居民企业和中国居民持股比例没有达到第（一）项规定的标准，但在股份、资金、经营、购销等方面对该外国企业构成实质控制。</w:t>
      </w:r>
    </w:p>
    <w:p>
      <w:pPr>
        <w:ind w:firstLine="640" w:firstLineChars="200"/>
        <w:rPr>
          <w:rFonts w:ascii="Times New Roman" w:hAnsi="Times New Roman" w:cs="仿宋_GB2312"/>
          <w:sz w:val="32"/>
          <w:szCs w:val="32"/>
        </w:rPr>
      </w:pPr>
      <w:bookmarkStart w:id="129" w:name="第一百一十八条"/>
      <w:bookmarkEnd w:id="129"/>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企业所得税法第四十五条所称实际税负明显低于企业所得税法第四条第一款规定税率水平，是指低于企业所得税法第四条第一款规定税率的50%。</w:t>
      </w:r>
    </w:p>
    <w:p>
      <w:pPr>
        <w:ind w:firstLine="640" w:firstLineChars="200"/>
        <w:rPr>
          <w:rFonts w:ascii="Times New Roman" w:hAnsi="Times New Roman" w:cs="仿宋_GB2312"/>
          <w:sz w:val="32"/>
          <w:szCs w:val="32"/>
        </w:rPr>
      </w:pPr>
      <w:bookmarkStart w:id="130" w:name="第一百一十九条"/>
      <w:bookmarkEnd w:id="130"/>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企业所得税法第四十六条所称债权性投资，是指企业直接或者间接从关联方获得的，需要偿还本金和支付利息或者需要以其他具有支付利息性质的方式予以补偿的融资。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企业间接从关联方获得的债权性投资，包括：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（一）关联方通过无关联第三方提供的债权性投资；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（二）无关联第三方提供的、由关联方担保且负有连带责任的债权性投资；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（三）其他间接从关联方获得的具有负债实质的债权性投资。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企业所得税法第四十六条所称权益性投资，是指企业接受的不需要偿还本金和支付利息，投资人对企业净资产拥有所有权的投资。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企业所得税法第四十六条所称标准，由国务院财政、税务主管部门另行规定。</w:t>
      </w:r>
    </w:p>
    <w:p>
      <w:pPr>
        <w:ind w:firstLine="640" w:firstLineChars="200"/>
        <w:rPr>
          <w:rFonts w:ascii="Times New Roman" w:hAnsi="Times New Roman" w:cs="仿宋_GB2312"/>
          <w:sz w:val="32"/>
          <w:szCs w:val="32"/>
        </w:rPr>
      </w:pPr>
      <w:bookmarkStart w:id="131" w:name="第一百二十条"/>
      <w:bookmarkEnd w:id="131"/>
      <w:r>
        <w:rPr>
          <w:rFonts w:ascii="Times New Roman" w:eastAsia="黑体" w:hAnsi="Times New Roman" w:cs="黑体" w:hint="eastAsia"/>
          <w:sz w:val="32"/>
          <w:szCs w:val="32"/>
        </w:rPr>
        <w:t>第一百二十条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企业所得税法第四十七条所称不具有合理商业目的，是指以减少、免除或者推迟缴纳税款为主要目的。</w:t>
      </w:r>
    </w:p>
    <w:p>
      <w:pPr>
        <w:ind w:firstLine="640" w:firstLineChars="200"/>
        <w:rPr>
          <w:rFonts w:ascii="Times New Roman" w:hAnsi="Times New Roman" w:cs="仿宋_GB2312"/>
          <w:sz w:val="32"/>
          <w:szCs w:val="32"/>
        </w:rPr>
      </w:pPr>
      <w:bookmarkStart w:id="132" w:name="第一百二十一条"/>
      <w:bookmarkEnd w:id="132"/>
      <w:r>
        <w:rPr>
          <w:rFonts w:ascii="Times New Roman" w:eastAsia="黑体" w:hAnsi="Times New Roman" w:cs="黑体" w:hint="eastAsia"/>
          <w:sz w:val="32"/>
          <w:szCs w:val="32"/>
        </w:rPr>
        <w:t>第一百二十一条</w:t>
      </w:r>
      <w:r>
        <w:rPr>
          <w:rFonts w:ascii="Times New Roman" w:hAnsi="Times New Roman" w:cs="仿宋_GB2312" w:hint="eastAsia"/>
          <w:sz w:val="32"/>
          <w:szCs w:val="32"/>
        </w:rPr>
        <w:t>　</w:t>
      </w:r>
      <w:r>
        <w:rPr>
          <w:rFonts w:ascii="Times New Roman" w:hAnsi="Times New Roman" w:cs="仿宋_GB2312" w:hint="eastAsia"/>
          <w:sz w:val="32"/>
          <w:szCs w:val="32"/>
        </w:rPr>
        <w:t>税务机关根据税收法律、行政法规的规定，对企业作出特别纳税调整的，应当对补征的税款，自税款所属纳税年度的次年6月1日起至补缴税款之日止的期间，按日加收利息。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前款规定加收的利息，不得在计算应纳税所得额时扣除。</w:t>
      </w:r>
    </w:p>
    <w:p>
      <w:pPr>
        <w:ind w:firstLine="640" w:firstLineChars="200"/>
        <w:rPr>
          <w:rFonts w:ascii="Times New Roman" w:hAnsi="Times New Roman" w:cs="仿宋_GB2312"/>
          <w:sz w:val="32"/>
          <w:szCs w:val="32"/>
        </w:rPr>
      </w:pPr>
      <w:bookmarkStart w:id="133" w:name="第一百二十二条"/>
      <w:bookmarkEnd w:id="133"/>
      <w:r>
        <w:rPr>
          <w:rFonts w:ascii="Times New Roman" w:eastAsia="黑体" w:hAnsi="Times New Roman" w:cs="黑体" w:hint="eastAsia"/>
          <w:sz w:val="32"/>
          <w:szCs w:val="32"/>
        </w:rPr>
        <w:t>第一百二十二条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企业所得税法第四十八条所称利息，应当按照税款所属纳税年度中国人民银行公布的与补税期间同期的人民币贷款基准利率加5个百分点计算。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企业依照企业所得税法第四十三条和本条例的规定提供有关资料的，可以只按前款规定的人民币贷款基准利率计算利息。</w:t>
      </w:r>
    </w:p>
    <w:p>
      <w:pPr>
        <w:ind w:firstLine="640" w:firstLineChars="200"/>
        <w:rPr>
          <w:rFonts w:ascii="Times New Roman" w:hAnsi="Times New Roman" w:cs="仿宋_GB2312"/>
          <w:sz w:val="32"/>
          <w:szCs w:val="32"/>
        </w:rPr>
      </w:pPr>
      <w:bookmarkStart w:id="134" w:name="第一百二十三条"/>
      <w:bookmarkEnd w:id="134"/>
      <w:r>
        <w:rPr>
          <w:rFonts w:ascii="Times New Roman" w:eastAsia="黑体" w:hAnsi="Times New Roman" w:cs="黑体" w:hint="eastAsia"/>
          <w:sz w:val="32"/>
          <w:szCs w:val="32"/>
        </w:rPr>
        <w:t>第一百二十三条</w:t>
      </w:r>
      <w:r>
        <w:rPr>
          <w:rFonts w:ascii="Times New Roman" w:hAnsi="Times New Roman" w:cs="仿宋_GB2312" w:hint="eastAsia"/>
          <w:sz w:val="32"/>
          <w:szCs w:val="32"/>
        </w:rPr>
        <w:t>　</w:t>
      </w:r>
      <w:r>
        <w:rPr>
          <w:rFonts w:ascii="Times New Roman" w:hAnsi="Times New Roman" w:cs="仿宋_GB2312" w:hint="eastAsia"/>
          <w:sz w:val="32"/>
          <w:szCs w:val="32"/>
        </w:rPr>
        <w:t>企业与其关联方之间的业务往来，不符合独立交易原则，或者企业实施其他不具有合理商业目的安排的，税务机关有权在该业务发生的纳税年度起10年内，进行纳税调整。</w:t>
      </w:r>
    </w:p>
    <w:p>
      <w:pPr>
        <w:rPr>
          <w:rFonts w:ascii="Times New Roman" w:eastAsia="宋体" w:hAnsi="Times New Roman" w:cs="宋体"/>
          <w:szCs w:val="32"/>
        </w:rPr>
      </w:pPr>
    </w:p>
    <w:p>
      <w:pPr>
        <w:jc w:val="center"/>
        <w:rPr>
          <w:rFonts w:ascii="Times New Roman" w:eastAsia="黑体" w:hAnsi="Times New Roman" w:cs="黑体"/>
          <w:szCs w:val="32"/>
        </w:rPr>
      </w:pPr>
      <w:bookmarkStart w:id="135" w:name="第七章 征收管理"/>
      <w:bookmarkEnd w:id="135"/>
      <w:r>
        <w:rPr>
          <w:rFonts w:ascii="Times New Roman" w:eastAsia="黑体" w:hAnsi="Times New Roman" w:cs="黑体" w:hint="eastAsia"/>
          <w:szCs w:val="32"/>
        </w:rPr>
        <w:t>第七章　征收管理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6" w:name="第一百二十四条"/>
      <w:bookmarkEnd w:id="136"/>
      <w:r>
        <w:rPr>
          <w:rFonts w:ascii="Times New Roman" w:eastAsia="黑体" w:hAnsi="Times New Roman" w:cs="黑体" w:hint="eastAsia"/>
          <w:sz w:val="32"/>
          <w:szCs w:val="32"/>
        </w:rPr>
        <w:t>第一百二十四条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企业所得税法第五十条所称企业登记注册地，是指企业依照国家有关规定登记注册的住所地。</w:t>
      </w:r>
    </w:p>
    <w:p>
      <w:pPr>
        <w:ind w:firstLine="640" w:firstLineChars="200"/>
        <w:rPr>
          <w:rFonts w:ascii="Times New Roman" w:hAnsi="Times New Roman" w:cs="仿宋_GB2312"/>
          <w:sz w:val="32"/>
          <w:szCs w:val="32"/>
        </w:rPr>
      </w:pPr>
      <w:bookmarkStart w:id="137" w:name="第一百二十五条"/>
      <w:bookmarkEnd w:id="137"/>
      <w:r>
        <w:rPr>
          <w:rFonts w:ascii="Times New Roman" w:eastAsia="黑体" w:hAnsi="Times New Roman" w:cs="黑体" w:hint="eastAsia"/>
          <w:sz w:val="32"/>
          <w:szCs w:val="32"/>
        </w:rPr>
        <w:t>第一百二十五条</w:t>
      </w:r>
      <w:r>
        <w:rPr>
          <w:rFonts w:ascii="Times New Roman" w:hAnsi="Times New Roman" w:cs="仿宋_GB2312" w:hint="eastAsia"/>
          <w:sz w:val="32"/>
          <w:szCs w:val="32"/>
        </w:rPr>
        <w:t>　</w:t>
      </w:r>
      <w:r>
        <w:rPr>
          <w:rFonts w:ascii="Times New Roman" w:hAnsi="Times New Roman" w:cs="仿宋_GB2312" w:hint="eastAsia"/>
          <w:sz w:val="32"/>
          <w:szCs w:val="32"/>
        </w:rPr>
        <w:t>企业汇总计算并缴纳企业所得税时，应当统一核算应纳税所得额，具体办法由国务院财政、税务主管部门另行制定。</w:t>
      </w:r>
    </w:p>
    <w:p>
      <w:pPr>
        <w:ind w:firstLine="640" w:firstLineChars="200"/>
        <w:rPr>
          <w:rFonts w:ascii="Times New Roman" w:hAnsi="Times New Roman" w:cs="仿宋_GB2312"/>
          <w:sz w:val="32"/>
          <w:szCs w:val="32"/>
        </w:rPr>
      </w:pPr>
      <w:bookmarkStart w:id="138" w:name="第一百二十六条"/>
      <w:bookmarkEnd w:id="138"/>
      <w:r>
        <w:rPr>
          <w:rFonts w:ascii="Times New Roman" w:eastAsia="黑体" w:hAnsi="Times New Roman" w:cs="黑体" w:hint="eastAsia"/>
          <w:sz w:val="32"/>
          <w:szCs w:val="32"/>
        </w:rPr>
        <w:t>第一百二十六条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企业所得税法第五十一条所称主要机构、场所，应当同时符合下列条件：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（一）对其他各机构、场所的生产经营活动负有监督管理责任；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（二）设有完整的账簿、凭证，能够准确反映各机构、场所的收入、成本、费用和盈亏情况。</w:t>
      </w:r>
    </w:p>
    <w:p>
      <w:pPr>
        <w:ind w:firstLine="640" w:firstLineChars="200"/>
        <w:rPr>
          <w:rFonts w:ascii="Times New Roman" w:hAnsi="Times New Roman" w:cs="仿宋_GB2312"/>
          <w:sz w:val="32"/>
          <w:szCs w:val="32"/>
        </w:rPr>
      </w:pPr>
      <w:bookmarkStart w:id="139" w:name="第一百二十七条"/>
      <w:bookmarkEnd w:id="139"/>
      <w:r>
        <w:rPr>
          <w:rFonts w:ascii="Times New Roman" w:eastAsia="黑体" w:hAnsi="Times New Roman" w:cs="黑体" w:hint="eastAsia"/>
          <w:sz w:val="32"/>
          <w:szCs w:val="32"/>
        </w:rPr>
        <w:t>第一百二十七条</w:t>
      </w:r>
      <w:r>
        <w:rPr>
          <w:rFonts w:ascii="Times New Roman" w:hAnsi="Times New Roman" w:cs="仿宋_GB2312" w:hint="eastAsia"/>
          <w:sz w:val="32"/>
          <w:szCs w:val="32"/>
        </w:rPr>
        <w:t>　</w:t>
      </w:r>
      <w:r>
        <w:rPr>
          <w:rFonts w:ascii="Times New Roman" w:hAnsi="Times New Roman" w:cs="仿宋_GB2312" w:hint="eastAsia"/>
          <w:sz w:val="32"/>
          <w:szCs w:val="32"/>
        </w:rPr>
        <w:t>企业所得税分月或者分季预缴，由税务机关具体核定。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根据企业所得税法第五十四条规定分月或者分季预缴企业所得税时，应当按照月度或者季度的实际利润额预缴；按照月度或者季度的实际利润额预缴有困难的，可以按照上一纳税年度应纳税所得额的月度或者季度平均额预缴，或者按照经税务机关认可的其他方法预缴。预缴方法一经确定，该纳税年度内不得随意变更。</w:t>
      </w:r>
    </w:p>
    <w:p>
      <w:pPr>
        <w:ind w:firstLine="640" w:firstLineChars="200"/>
        <w:rPr>
          <w:rFonts w:ascii="Times New Roman" w:hAnsi="Times New Roman" w:cs="仿宋_GB2312"/>
          <w:sz w:val="32"/>
          <w:szCs w:val="32"/>
        </w:rPr>
      </w:pPr>
      <w:bookmarkStart w:id="140" w:name="第一百二十八条"/>
      <w:bookmarkEnd w:id="140"/>
      <w:r>
        <w:rPr>
          <w:rFonts w:ascii="Times New Roman" w:eastAsia="黑体" w:hAnsi="Times New Roman" w:cs="黑体" w:hint="eastAsia"/>
          <w:sz w:val="32"/>
          <w:szCs w:val="32"/>
        </w:rPr>
        <w:t>第一百二十八条</w:t>
      </w:r>
      <w:r>
        <w:rPr>
          <w:rFonts w:ascii="Times New Roman" w:hAnsi="Times New Roman" w:cs="仿宋_GB2312" w:hint="eastAsia"/>
          <w:sz w:val="32"/>
          <w:szCs w:val="32"/>
        </w:rPr>
        <w:t>　</w:t>
      </w:r>
      <w:r>
        <w:rPr>
          <w:rFonts w:ascii="Times New Roman" w:hAnsi="Times New Roman" w:cs="仿宋_GB2312" w:hint="eastAsia"/>
          <w:sz w:val="32"/>
          <w:szCs w:val="32"/>
        </w:rPr>
        <w:t>企业在纳税年度内无论盈利或者亏损，都应当依照企业所得税法第五十四条规定的期限，向税务机关报送预缴企业所得税纳税申报表、年度企业所得税纳税申报表、财务会计报告和税务机关规定应当报送的其他有关资料。</w:t>
      </w:r>
    </w:p>
    <w:p>
      <w:pPr>
        <w:ind w:firstLine="640" w:firstLineChars="200"/>
        <w:rPr>
          <w:rFonts w:ascii="Times New Roman" w:hAnsi="Times New Roman" w:cs="仿宋_GB2312"/>
          <w:sz w:val="32"/>
          <w:szCs w:val="32"/>
        </w:rPr>
      </w:pPr>
      <w:bookmarkStart w:id="141" w:name="第一百二十九条"/>
      <w:bookmarkEnd w:id="141"/>
      <w:r>
        <w:rPr>
          <w:rFonts w:ascii="Times New Roman" w:eastAsia="黑体" w:hAnsi="Times New Roman" w:cs="黑体" w:hint="eastAsia"/>
          <w:sz w:val="32"/>
          <w:szCs w:val="32"/>
        </w:rPr>
        <w:t>第一百二十九条</w:t>
      </w:r>
      <w:r>
        <w:rPr>
          <w:rFonts w:ascii="Times New Roman" w:hAnsi="Times New Roman" w:cs="仿宋_GB2312" w:hint="eastAsia"/>
          <w:sz w:val="32"/>
          <w:szCs w:val="32"/>
        </w:rPr>
        <w:t>　</w:t>
      </w:r>
      <w:r>
        <w:rPr>
          <w:rFonts w:ascii="Times New Roman" w:hAnsi="Times New Roman" w:cs="仿宋_GB2312" w:hint="eastAsia"/>
          <w:sz w:val="32"/>
          <w:szCs w:val="32"/>
        </w:rPr>
        <w:t>企业所得以人民币以外的货币计算的，预缴企业所得税时，应当按照月度或者季度最后一日的人民币汇率中间价，折合成人民币计算应纳税所得额。年度终了汇算清缴时，对已经按照月度或者季度预缴税款的，不再重新折合计算，只就该纳税年度内未缴纳企业所得税的部分，按照纳税年度最后一日的人民币汇率中间价，折合成人民币计算应纳税所得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税务机关检查确认，企业少计或者多计前款规定的所得的，应当按照检查确认补税或者退税时的上一个月最后一日的人民币汇率中间价，将少计或者多计的所得折合成人民币计算应纳税所得额，再计算应补缴或者应退的税款。</w:t>
      </w:r>
    </w:p>
    <w:p>
      <w:pPr>
        <w:rPr>
          <w:rFonts w:ascii="Times New Roman" w:eastAsia="宋体" w:hAnsi="Times New Roman" w:cs="宋体"/>
          <w:szCs w:val="32"/>
        </w:rPr>
      </w:pPr>
    </w:p>
    <w:p>
      <w:pPr>
        <w:jc w:val="center"/>
        <w:rPr>
          <w:rFonts w:ascii="Times New Roman" w:eastAsia="黑体" w:hAnsi="Times New Roman" w:cs="黑体"/>
          <w:szCs w:val="32"/>
        </w:rPr>
      </w:pPr>
      <w:bookmarkStart w:id="142" w:name="第八章 附则"/>
      <w:bookmarkEnd w:id="14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3" w:name="第一百三十条"/>
      <w:bookmarkEnd w:id="143"/>
      <w:r>
        <w:rPr>
          <w:rFonts w:ascii="Times New Roman" w:eastAsia="黑体" w:hAnsi="Times New Roman" w:cs="黑体" w:hint="eastAsia"/>
          <w:sz w:val="32"/>
          <w:szCs w:val="32"/>
        </w:rPr>
        <w:t>第一百三十条</w:t>
      </w:r>
      <w:r>
        <w:rPr>
          <w:rFonts w:ascii="Times New Roman" w:hAnsi="Times New Roman" w:cs="仿宋_GB2312" w:hint="eastAsia"/>
          <w:sz w:val="32"/>
          <w:szCs w:val="32"/>
        </w:rPr>
        <w:t>　</w:t>
      </w:r>
      <w:r>
        <w:rPr>
          <w:rFonts w:ascii="Times New Roman" w:hAnsi="Times New Roman" w:cs="仿宋_GB2312" w:hint="eastAsia"/>
          <w:sz w:val="32"/>
          <w:szCs w:val="32"/>
        </w:rPr>
        <w:t>企业所得税法第五十七条第一款所称本法公布前已经批准设立的企业，是指企业所得税法公布前已经完成登记注册的企业。</w:t>
      </w:r>
    </w:p>
    <w:p>
      <w:pPr>
        <w:ind w:firstLine="640" w:firstLineChars="200"/>
        <w:rPr>
          <w:rFonts w:ascii="Times New Roman" w:hAnsi="Times New Roman" w:cs="仿宋_GB2312"/>
          <w:sz w:val="32"/>
          <w:szCs w:val="32"/>
        </w:rPr>
      </w:pPr>
      <w:bookmarkStart w:id="144" w:name="第一百三十一条"/>
      <w:bookmarkEnd w:id="144"/>
      <w:r>
        <w:rPr>
          <w:rFonts w:ascii="Times New Roman" w:eastAsia="黑体" w:hAnsi="Times New Roman" w:cs="黑体" w:hint="eastAsia"/>
          <w:sz w:val="32"/>
          <w:szCs w:val="32"/>
        </w:rPr>
        <w:t>第一百三十一条</w:t>
      </w:r>
      <w:r>
        <w:rPr>
          <w:rFonts w:ascii="Times New Roman" w:hAnsi="Times New Roman" w:cs="仿宋_GB2312" w:hint="eastAsia"/>
          <w:sz w:val="32"/>
          <w:szCs w:val="32"/>
        </w:rPr>
        <w:t>　</w:t>
      </w:r>
      <w:r>
        <w:rPr>
          <w:rFonts w:ascii="Times New Roman" w:hAnsi="Times New Roman" w:cs="仿宋_GB2312" w:hint="eastAsia"/>
          <w:sz w:val="32"/>
          <w:szCs w:val="32"/>
        </w:rPr>
        <w:t>在香港特别行政区、澳门特别行政区和台湾地区成立的企业，参照适用企业所得税法第二条第二款、第三款的有关规定。</w:t>
      </w:r>
    </w:p>
    <w:p>
      <w:pPr>
        <w:ind w:firstLine="640" w:firstLineChars="200"/>
        <w:rPr>
          <w:rFonts w:ascii="Times New Roman" w:hAnsi="Times New Roman" w:cs="仿宋_GB2312"/>
          <w:sz w:val="32"/>
          <w:szCs w:val="32"/>
        </w:rPr>
      </w:pPr>
      <w:bookmarkStart w:id="145" w:name="第一百三十二条"/>
      <w:bookmarkEnd w:id="145"/>
      <w:r>
        <w:rPr>
          <w:rFonts w:ascii="Times New Roman" w:eastAsia="黑体" w:hAnsi="Times New Roman" w:cs="黑体" w:hint="eastAsia"/>
          <w:sz w:val="32"/>
          <w:szCs w:val="32"/>
        </w:rPr>
        <w:t>第一百三十二条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本条例自2008年1月1日起施行。1991年6月30日国务院发布的《中华人民共和国外商投资企业和外国企业所得税法实施细则》和1994年2月4日财政部发布的《中华人民共和国企业所得税暂行条例实施细则》同时废止。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