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AAE" w:rsidRPr="00C4588F" w:rsidRDefault="00F71AAE" w:rsidP="00134C63">
      <w:pPr>
        <w:overflowPunct w:val="0"/>
        <w:spacing w:line="560" w:lineRule="exact"/>
        <w:jc w:val="center"/>
        <w:rPr>
          <w:rFonts w:ascii="方正小标宋简体" w:eastAsia="方正小标宋简体"/>
          <w:sz w:val="44"/>
        </w:rPr>
      </w:pPr>
    </w:p>
    <w:p w:rsidR="00F71AAE" w:rsidRPr="00DF021C" w:rsidRDefault="00F71AAE" w:rsidP="00134C63">
      <w:pPr>
        <w:overflowPunct w:val="0"/>
        <w:spacing w:line="560" w:lineRule="exact"/>
        <w:jc w:val="center"/>
        <w:rPr>
          <w:rFonts w:ascii="宋体" w:eastAsia="宋体" w:hAnsi="宋体"/>
          <w:sz w:val="44"/>
          <w:szCs w:val="44"/>
        </w:rPr>
      </w:pPr>
      <w:r w:rsidRPr="00DF021C">
        <w:rPr>
          <w:rFonts w:ascii="宋体" w:eastAsia="宋体" w:hAnsi="宋体" w:hint="eastAsia"/>
          <w:sz w:val="44"/>
          <w:szCs w:val="44"/>
        </w:rPr>
        <w:t>丽水市传统村落保护条例</w:t>
      </w:r>
    </w:p>
    <w:p w:rsidR="00F71AAE" w:rsidRDefault="00F71AAE" w:rsidP="001D62D6">
      <w:pPr>
        <w:overflowPunct w:val="0"/>
        <w:spacing w:line="560" w:lineRule="exact"/>
        <w:ind w:firstLineChars="177" w:firstLine="559"/>
        <w:rPr>
          <w:rFonts w:ascii="楷体_GB2312" w:eastAsia="楷体_GB2312"/>
        </w:rPr>
      </w:pPr>
    </w:p>
    <w:p w:rsidR="00F71AAE" w:rsidRPr="008C6AF0" w:rsidRDefault="00F71AAE" w:rsidP="001D62D6">
      <w:pPr>
        <w:spacing w:line="560" w:lineRule="exact"/>
        <w:ind w:leftChars="200" w:left="632" w:rightChars="200" w:right="632"/>
        <w:rPr>
          <w:rFonts w:ascii="楷体_GB2312" w:eastAsia="楷体_GB2312"/>
        </w:rPr>
      </w:pPr>
      <w:r w:rsidRPr="008C6AF0">
        <w:rPr>
          <w:rFonts w:ascii="楷体_GB2312" w:eastAsia="楷体_GB2312" w:hint="eastAsia"/>
        </w:rPr>
        <w:t>（</w:t>
      </w:r>
      <w:r w:rsidRPr="001D62D6">
        <w:rPr>
          <w:rFonts w:ascii="楷体_GB2312" w:eastAsia="楷体_GB2312" w:hAnsiTheme="minorEastAsia" w:cs="仿宋_GB2312"/>
          <w:color w:val="000000"/>
          <w:spacing w:val="-6"/>
          <w:kern w:val="0"/>
          <w:szCs w:val="21"/>
          <w:lang w:val="zh-CN"/>
        </w:rPr>
        <w:t>2019</w:t>
      </w:r>
      <w:r w:rsidRPr="008C6AF0">
        <w:rPr>
          <w:rFonts w:ascii="楷体_GB2312" w:eastAsia="楷体_GB2312" w:hint="eastAsia"/>
        </w:rPr>
        <w:t>年</w:t>
      </w:r>
      <w:r w:rsidRPr="008C6AF0">
        <w:rPr>
          <w:rFonts w:ascii="楷体_GB2312" w:eastAsia="楷体_GB2312"/>
        </w:rPr>
        <w:t>5</w:t>
      </w:r>
      <w:r w:rsidRPr="008C6AF0">
        <w:rPr>
          <w:rFonts w:ascii="楷体_GB2312" w:eastAsia="楷体_GB2312" w:hint="eastAsia"/>
        </w:rPr>
        <w:t>月</w:t>
      </w:r>
      <w:r w:rsidRPr="008C6AF0">
        <w:rPr>
          <w:rFonts w:ascii="楷体_GB2312" w:eastAsia="楷体_GB2312"/>
        </w:rPr>
        <w:t>28</w:t>
      </w:r>
      <w:r w:rsidRPr="008C6AF0">
        <w:rPr>
          <w:rFonts w:ascii="楷体_GB2312" w:eastAsia="楷体_GB2312" w:hint="eastAsia"/>
        </w:rPr>
        <w:t>日丽水市第四届人民代表大会常务委员会第十六次会议</w:t>
      </w:r>
      <w:r w:rsidRPr="001D62D6">
        <w:rPr>
          <w:rFonts w:ascii="楷体_GB2312" w:eastAsia="楷体_GB2312" w:hAnsiTheme="minorEastAsia" w:cs="仿宋_GB2312" w:hint="eastAsia"/>
          <w:color w:val="000000"/>
          <w:spacing w:val="-6"/>
          <w:kern w:val="0"/>
          <w:szCs w:val="21"/>
          <w:lang w:val="zh-CN"/>
        </w:rPr>
        <w:t>通过</w:t>
      </w:r>
      <w:r w:rsidRPr="008C6AF0">
        <w:rPr>
          <w:rFonts w:ascii="楷体_GB2312" w:eastAsia="楷体_GB2312"/>
        </w:rPr>
        <w:t xml:space="preserve">  2019</w:t>
      </w:r>
      <w:r w:rsidRPr="008C6AF0">
        <w:rPr>
          <w:rFonts w:ascii="楷体_GB2312" w:eastAsia="楷体_GB2312" w:hint="eastAsia"/>
        </w:rPr>
        <w:t>年</w:t>
      </w:r>
      <w:r w:rsidRPr="008C6AF0">
        <w:rPr>
          <w:rFonts w:ascii="楷体_GB2312" w:eastAsia="楷体_GB2312"/>
        </w:rPr>
        <w:t>8</w:t>
      </w:r>
      <w:r w:rsidRPr="008C6AF0">
        <w:rPr>
          <w:rFonts w:ascii="楷体_GB2312" w:eastAsia="楷体_GB2312" w:hint="eastAsia"/>
        </w:rPr>
        <w:t>月</w:t>
      </w:r>
      <w:r w:rsidRPr="008C6AF0">
        <w:rPr>
          <w:rFonts w:ascii="楷体_GB2312" w:eastAsia="楷体_GB2312"/>
        </w:rPr>
        <w:t>1</w:t>
      </w:r>
      <w:r w:rsidRPr="008C6AF0">
        <w:rPr>
          <w:rFonts w:ascii="楷体_GB2312" w:eastAsia="楷体_GB2312" w:hint="eastAsia"/>
        </w:rPr>
        <w:t>日浙江省第十三届人民代表大会常务委员会第十三次会议批准）</w:t>
      </w:r>
    </w:p>
    <w:p w:rsidR="00F71AAE" w:rsidRPr="008C6AF0" w:rsidRDefault="00F71AAE" w:rsidP="001D62D6">
      <w:pPr>
        <w:overflowPunct w:val="0"/>
        <w:spacing w:line="560" w:lineRule="exact"/>
        <w:ind w:firstLineChars="221" w:firstLine="698"/>
        <w:rPr>
          <w:rFonts w:ascii="楷体_GB2312" w:eastAsia="楷体_GB2312"/>
        </w:rPr>
      </w:pPr>
    </w:p>
    <w:p w:rsidR="00F71AAE" w:rsidRPr="001D62D6" w:rsidRDefault="00F71AAE" w:rsidP="00134C63">
      <w:pPr>
        <w:overflowPunct w:val="0"/>
        <w:spacing w:line="560" w:lineRule="exact"/>
        <w:jc w:val="center"/>
        <w:rPr>
          <w:rFonts w:ascii="楷体_GB2312" w:eastAsia="楷体_GB2312" w:hAnsi="黑体" w:hint="eastAsia"/>
          <w:szCs w:val="32"/>
        </w:rPr>
      </w:pPr>
      <w:r w:rsidRPr="001D62D6">
        <w:rPr>
          <w:rFonts w:ascii="楷体_GB2312" w:eastAsia="楷体_GB2312" w:hAnsi="黑体" w:hint="eastAsia"/>
          <w:szCs w:val="32"/>
        </w:rPr>
        <w:t>目</w:t>
      </w:r>
      <w:r w:rsidR="00913D3B">
        <w:rPr>
          <w:rFonts w:ascii="楷体_GB2312" w:eastAsia="楷体_GB2312" w:hAnsi="黑体" w:hint="eastAsia"/>
          <w:szCs w:val="32"/>
        </w:rPr>
        <w:t xml:space="preserve">    </w:t>
      </w:r>
      <w:r w:rsidRPr="001D62D6">
        <w:rPr>
          <w:rFonts w:ascii="楷体_GB2312" w:eastAsia="楷体_GB2312" w:hAnsi="黑体" w:hint="eastAsia"/>
          <w:szCs w:val="32"/>
        </w:rPr>
        <w:t>录</w:t>
      </w:r>
    </w:p>
    <w:p w:rsidR="00F71AAE" w:rsidRPr="001D62D6" w:rsidRDefault="00F71AAE" w:rsidP="00134C63">
      <w:pPr>
        <w:overflowPunct w:val="0"/>
        <w:spacing w:line="560" w:lineRule="exact"/>
        <w:jc w:val="center"/>
        <w:rPr>
          <w:rFonts w:ascii="楷体_GB2312" w:eastAsia="楷体_GB2312" w:hAnsi="黑体" w:hint="eastAsia"/>
          <w:szCs w:val="32"/>
        </w:rPr>
      </w:pPr>
    </w:p>
    <w:p w:rsidR="00F71AAE" w:rsidRPr="001D62D6" w:rsidRDefault="00F71AAE" w:rsidP="001D62D6">
      <w:pPr>
        <w:overflowPunct w:val="0"/>
        <w:spacing w:line="560" w:lineRule="exact"/>
        <w:ind w:firstLineChars="221" w:firstLine="698"/>
        <w:rPr>
          <w:rFonts w:ascii="楷体_GB2312" w:eastAsia="楷体_GB2312" w:hAnsi="Calibri" w:hint="eastAsia"/>
          <w:szCs w:val="32"/>
        </w:rPr>
      </w:pPr>
      <w:r w:rsidRPr="001D62D6">
        <w:rPr>
          <w:rFonts w:ascii="楷体_GB2312" w:eastAsia="楷体_GB2312" w:hAnsi="Calibri" w:hint="eastAsia"/>
          <w:szCs w:val="32"/>
        </w:rPr>
        <w:t>第一章  总则</w:t>
      </w:r>
    </w:p>
    <w:p w:rsidR="00F71AAE" w:rsidRPr="001D62D6" w:rsidRDefault="00F71AAE" w:rsidP="001D62D6">
      <w:pPr>
        <w:overflowPunct w:val="0"/>
        <w:spacing w:line="560" w:lineRule="exact"/>
        <w:ind w:firstLineChars="221" w:firstLine="698"/>
        <w:rPr>
          <w:rFonts w:ascii="楷体_GB2312" w:eastAsia="楷体_GB2312" w:hAnsi="Calibri" w:hint="eastAsia"/>
          <w:szCs w:val="32"/>
        </w:rPr>
      </w:pPr>
      <w:r w:rsidRPr="001D62D6">
        <w:rPr>
          <w:rFonts w:ascii="楷体_GB2312" w:eastAsia="楷体_GB2312" w:hAnsi="Calibri" w:hint="eastAsia"/>
          <w:szCs w:val="32"/>
        </w:rPr>
        <w:t>第二章  规划编制</w:t>
      </w:r>
    </w:p>
    <w:p w:rsidR="00F71AAE" w:rsidRPr="001D62D6" w:rsidRDefault="00F71AAE" w:rsidP="001D62D6">
      <w:pPr>
        <w:overflowPunct w:val="0"/>
        <w:spacing w:line="560" w:lineRule="exact"/>
        <w:ind w:firstLineChars="221" w:firstLine="698"/>
        <w:rPr>
          <w:rFonts w:ascii="楷体_GB2312" w:eastAsia="楷体_GB2312" w:hAnsi="Calibri" w:hint="eastAsia"/>
          <w:szCs w:val="32"/>
        </w:rPr>
      </w:pPr>
      <w:r w:rsidRPr="001D62D6">
        <w:rPr>
          <w:rFonts w:ascii="楷体_GB2312" w:eastAsia="楷体_GB2312" w:hAnsi="Calibri" w:hint="eastAsia"/>
          <w:szCs w:val="32"/>
        </w:rPr>
        <w:t>第三章  保护措施</w:t>
      </w:r>
    </w:p>
    <w:p w:rsidR="00F71AAE" w:rsidRPr="001D62D6" w:rsidRDefault="00F71AAE" w:rsidP="001D62D6">
      <w:pPr>
        <w:overflowPunct w:val="0"/>
        <w:spacing w:line="560" w:lineRule="exact"/>
        <w:ind w:firstLineChars="221" w:firstLine="698"/>
        <w:rPr>
          <w:rFonts w:ascii="楷体_GB2312" w:eastAsia="楷体_GB2312" w:hAnsi="Calibri" w:hint="eastAsia"/>
          <w:szCs w:val="32"/>
        </w:rPr>
      </w:pPr>
      <w:r w:rsidRPr="001D62D6">
        <w:rPr>
          <w:rFonts w:ascii="楷体_GB2312" w:eastAsia="楷体_GB2312" w:hAnsi="Calibri" w:hint="eastAsia"/>
          <w:szCs w:val="32"/>
        </w:rPr>
        <w:t>第四章  合理利用</w:t>
      </w:r>
    </w:p>
    <w:p w:rsidR="00F71AAE" w:rsidRPr="001D62D6" w:rsidRDefault="00F71AAE" w:rsidP="001D62D6">
      <w:pPr>
        <w:overflowPunct w:val="0"/>
        <w:spacing w:line="560" w:lineRule="exact"/>
        <w:ind w:firstLineChars="221" w:firstLine="698"/>
        <w:rPr>
          <w:rFonts w:ascii="楷体_GB2312" w:eastAsia="楷体_GB2312" w:hAnsi="Calibri" w:hint="eastAsia"/>
          <w:szCs w:val="32"/>
        </w:rPr>
      </w:pPr>
      <w:r w:rsidRPr="001D62D6">
        <w:rPr>
          <w:rFonts w:ascii="楷体_GB2312" w:eastAsia="楷体_GB2312" w:hAnsi="Calibri" w:hint="eastAsia"/>
          <w:szCs w:val="32"/>
        </w:rPr>
        <w:t>第五章  监督检查</w:t>
      </w:r>
    </w:p>
    <w:p w:rsidR="00F71AAE" w:rsidRPr="001D62D6" w:rsidRDefault="00F71AAE" w:rsidP="001D62D6">
      <w:pPr>
        <w:overflowPunct w:val="0"/>
        <w:spacing w:line="560" w:lineRule="exact"/>
        <w:ind w:firstLineChars="221" w:firstLine="698"/>
        <w:rPr>
          <w:rFonts w:ascii="楷体_GB2312" w:eastAsia="楷体_GB2312" w:hAnsi="Calibri" w:hint="eastAsia"/>
          <w:szCs w:val="32"/>
        </w:rPr>
      </w:pPr>
      <w:r w:rsidRPr="001D62D6">
        <w:rPr>
          <w:rFonts w:ascii="楷体_GB2312" w:eastAsia="楷体_GB2312" w:hAnsi="Calibri" w:hint="eastAsia"/>
          <w:szCs w:val="32"/>
        </w:rPr>
        <w:t>第六章  法律责任</w:t>
      </w:r>
    </w:p>
    <w:p w:rsidR="00F71AAE" w:rsidRPr="001D62D6" w:rsidRDefault="00F71AAE" w:rsidP="001D62D6">
      <w:pPr>
        <w:overflowPunct w:val="0"/>
        <w:spacing w:line="560" w:lineRule="exact"/>
        <w:ind w:firstLineChars="221" w:firstLine="698"/>
        <w:rPr>
          <w:rFonts w:ascii="楷体_GB2312" w:eastAsia="楷体_GB2312" w:hAnsi="Calibri" w:hint="eastAsia"/>
          <w:szCs w:val="32"/>
        </w:rPr>
      </w:pPr>
      <w:r w:rsidRPr="001D62D6">
        <w:rPr>
          <w:rFonts w:ascii="楷体_GB2312" w:eastAsia="楷体_GB2312" w:hAnsi="Calibri" w:hint="eastAsia"/>
          <w:szCs w:val="32"/>
        </w:rPr>
        <w:t>第七章  附则</w:t>
      </w:r>
    </w:p>
    <w:p w:rsidR="00F71AAE" w:rsidRPr="008C6AF0" w:rsidRDefault="00F71AAE" w:rsidP="00134C63">
      <w:pPr>
        <w:overflowPunct w:val="0"/>
        <w:spacing w:line="560" w:lineRule="exact"/>
        <w:rPr>
          <w:rFonts w:ascii="仿宋_GB2312" w:hAnsi="Calibri"/>
          <w:szCs w:val="32"/>
        </w:rPr>
      </w:pPr>
    </w:p>
    <w:p w:rsidR="00F71AAE" w:rsidRPr="008C6AF0" w:rsidRDefault="00F71AAE" w:rsidP="00134C63">
      <w:pPr>
        <w:overflowPunct w:val="0"/>
        <w:spacing w:line="560" w:lineRule="exact"/>
        <w:jc w:val="center"/>
        <w:rPr>
          <w:rFonts w:ascii="黑体" w:eastAsia="黑体" w:hAnsi="黑体"/>
          <w:szCs w:val="32"/>
        </w:rPr>
      </w:pPr>
      <w:r w:rsidRPr="008C6AF0">
        <w:rPr>
          <w:rFonts w:ascii="黑体" w:eastAsia="黑体" w:hAnsi="黑体" w:hint="eastAsia"/>
          <w:szCs w:val="32"/>
        </w:rPr>
        <w:t>第一章</w:t>
      </w:r>
      <w:r w:rsidRPr="008C6AF0">
        <w:rPr>
          <w:rFonts w:ascii="黑体" w:eastAsia="黑体" w:hAnsi="黑体"/>
          <w:szCs w:val="32"/>
        </w:rPr>
        <w:t xml:space="preserve">  </w:t>
      </w:r>
      <w:r w:rsidRPr="008C6AF0">
        <w:rPr>
          <w:rFonts w:ascii="黑体" w:eastAsia="黑体" w:hAnsi="黑体" w:hint="eastAsia"/>
          <w:szCs w:val="32"/>
        </w:rPr>
        <w:t>总则</w:t>
      </w:r>
    </w:p>
    <w:p w:rsidR="00F71AAE" w:rsidRPr="008C6AF0" w:rsidRDefault="00F71AAE" w:rsidP="00134C63">
      <w:pPr>
        <w:overflowPunct w:val="0"/>
        <w:spacing w:line="560" w:lineRule="exact"/>
        <w:rPr>
          <w:rFonts w:ascii="仿宋_GB2312" w:hAnsi="Calibri"/>
          <w:szCs w:val="32"/>
        </w:rPr>
      </w:pP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第一条</w:t>
      </w:r>
      <w:r w:rsidR="001D62D6">
        <w:rPr>
          <w:rFonts w:ascii="黑体" w:eastAsia="黑体" w:hAnsi="黑体" w:hint="eastAsia"/>
          <w:szCs w:val="32"/>
        </w:rPr>
        <w:t xml:space="preserve">  </w:t>
      </w:r>
      <w:r w:rsidRPr="008C6AF0">
        <w:rPr>
          <w:rFonts w:ascii="仿宋_GB2312" w:hAnsi="Calibri" w:hint="eastAsia"/>
          <w:szCs w:val="32"/>
        </w:rPr>
        <w:t>为了加强传统村落保护和利用，保持村落传统风貌，传承优秀历史文化遗产，推进美丽乡村建设，促进乡村振兴，根据有关法律、法规，结合本市实际，制定本条例。</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w:t>
      </w:r>
      <w:r w:rsidRPr="008C6AF0">
        <w:rPr>
          <w:rFonts w:ascii="黑体" w:eastAsia="黑体" w:hAnsi="黑体" w:hint="eastAsia"/>
          <w:szCs w:val="32"/>
        </w:rPr>
        <w:t xml:space="preserve">　第二条</w:t>
      </w:r>
      <w:r w:rsidR="001D62D6">
        <w:rPr>
          <w:rFonts w:ascii="黑体" w:eastAsia="黑体" w:hAnsi="黑体" w:hint="eastAsia"/>
          <w:szCs w:val="32"/>
        </w:rPr>
        <w:t xml:space="preserve">  </w:t>
      </w:r>
      <w:r w:rsidRPr="008C6AF0">
        <w:rPr>
          <w:rFonts w:ascii="仿宋_GB2312" w:hAnsi="Calibri" w:hint="eastAsia"/>
          <w:szCs w:val="32"/>
        </w:rPr>
        <w:t>本市行政区域内传统村落保护和利用，适用本条例。</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lastRenderedPageBreak/>
        <w:t xml:space="preserve">　　本条例所称的传统村落，是指形成较早，拥有较为丰富的物质形态和非物质文化遗产，具备较高的历史、文化、科学、艺术、社会等价值，具有传统风貌或者地域文化特色，列入国家级、省级和市级传统村落名录的村落。</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市级传统村落申报、认定的具体办法由市住房和城乡建设主管部门制定，报市人民政府批准后实施。</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第三条</w:t>
      </w:r>
      <w:r w:rsidRPr="008C6AF0">
        <w:rPr>
          <w:rFonts w:ascii="仿宋_GB2312" w:hAnsi="Calibri"/>
          <w:szCs w:val="32"/>
        </w:rPr>
        <w:t xml:space="preserve">  </w:t>
      </w:r>
      <w:r w:rsidRPr="008C6AF0">
        <w:rPr>
          <w:rFonts w:ascii="仿宋_GB2312" w:hAnsi="Calibri" w:hint="eastAsia"/>
          <w:szCs w:val="32"/>
        </w:rPr>
        <w:t>传统村落保护应当遵循保护优先、合理利用、活态传承、政府引导、村民主体的原则。</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传统村落的保护重点包括格局、风貌和自然环境，不可移动文物、历史建筑和传统建筑，历史环境要素，传统文化等。</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第四条</w:t>
      </w:r>
      <w:r w:rsidRPr="008C6AF0">
        <w:rPr>
          <w:rFonts w:ascii="黑体" w:eastAsia="黑体" w:hAnsi="黑体"/>
          <w:szCs w:val="32"/>
        </w:rPr>
        <w:t xml:space="preserve"> </w:t>
      </w:r>
      <w:r w:rsidRPr="008C6AF0">
        <w:rPr>
          <w:rFonts w:ascii="仿宋_GB2312" w:hAnsi="Calibri"/>
          <w:szCs w:val="32"/>
        </w:rPr>
        <w:t xml:space="preserve"> </w:t>
      </w:r>
      <w:r w:rsidRPr="008C6AF0">
        <w:rPr>
          <w:rFonts w:ascii="仿宋_GB2312" w:hAnsi="Calibri" w:hint="eastAsia"/>
          <w:szCs w:val="32"/>
        </w:rPr>
        <w:t>市、县（市、区）人民政府应当将传统村落保护和利用纳入国民经济和社会发展规划，健全传统村落保护工作协调机制，解决传统村落保护和利用中的重大问题。</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第五条</w:t>
      </w:r>
      <w:r w:rsidR="001D62D6">
        <w:rPr>
          <w:rFonts w:ascii="黑体" w:eastAsia="黑体" w:hAnsi="黑体" w:hint="eastAsia"/>
          <w:szCs w:val="32"/>
        </w:rPr>
        <w:t xml:space="preserve">  </w:t>
      </w:r>
      <w:r w:rsidRPr="008C6AF0">
        <w:rPr>
          <w:rFonts w:ascii="仿宋_GB2312" w:hAnsi="Calibri" w:hint="eastAsia"/>
          <w:szCs w:val="32"/>
        </w:rPr>
        <w:t>住房和城乡建设主管部门负责对本行政区域内传统村落保护和利用工作的指导、监督和管理。</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农业农村、文化（文物）旅游、自然资源和规划、发展和改革、财政、消防救援、公安等有关部门按照各自职责，做好传统村落保护和利用相关工作。</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第六条</w:t>
      </w:r>
      <w:r w:rsidRPr="008C6AF0">
        <w:rPr>
          <w:rFonts w:ascii="仿宋_GB2312" w:hAnsi="Calibri"/>
          <w:szCs w:val="32"/>
        </w:rPr>
        <w:t xml:space="preserve">  </w:t>
      </w:r>
      <w:r w:rsidRPr="008C6AF0">
        <w:rPr>
          <w:rFonts w:ascii="仿宋_GB2312" w:hAnsi="Calibri" w:hint="eastAsia"/>
          <w:szCs w:val="32"/>
        </w:rPr>
        <w:t>传统村落所在地乡（镇）人民政府、街道办事处应当加强传统村落的日常管理，履行下列职责</w:t>
      </w:r>
      <w:r w:rsidRPr="008C6AF0">
        <w:rPr>
          <w:rFonts w:ascii="仿宋_GB2312" w:hAnsi="Calibri"/>
          <w:szCs w:val="32"/>
        </w:rPr>
        <w:t>:</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（一）收集整理传统村落申报认定材料；</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（二）编制并组织实施传统村落保护发展规划；</w:t>
      </w:r>
    </w:p>
    <w:p w:rsidR="00F71AAE" w:rsidRPr="008C6AF0" w:rsidRDefault="00F71AAE" w:rsidP="00134C63">
      <w:pPr>
        <w:overflowPunct w:val="0"/>
        <w:spacing w:line="560" w:lineRule="exact"/>
        <w:ind w:firstLine="630"/>
        <w:rPr>
          <w:rFonts w:ascii="仿宋_GB2312" w:hAnsi="Calibri"/>
          <w:szCs w:val="32"/>
        </w:rPr>
      </w:pPr>
      <w:r w:rsidRPr="008C6AF0">
        <w:rPr>
          <w:rFonts w:ascii="仿宋_GB2312" w:hAnsi="Calibri" w:hint="eastAsia"/>
          <w:szCs w:val="32"/>
        </w:rPr>
        <w:t>（三）完善传统村落基础设施、公共服务设施，修复传统风</w:t>
      </w:r>
      <w:r w:rsidRPr="008C6AF0">
        <w:rPr>
          <w:rFonts w:ascii="仿宋_GB2312" w:hAnsi="Calibri" w:hint="eastAsia"/>
          <w:szCs w:val="32"/>
        </w:rPr>
        <w:lastRenderedPageBreak/>
        <w:t>貌，合理利用村落资源，改善人居环境；</w:t>
      </w:r>
    </w:p>
    <w:p w:rsidR="00F71AAE" w:rsidRPr="008C6AF0" w:rsidRDefault="00F71AAE" w:rsidP="00134C63">
      <w:pPr>
        <w:overflowPunct w:val="0"/>
        <w:spacing w:line="560" w:lineRule="exact"/>
        <w:ind w:firstLine="630"/>
        <w:rPr>
          <w:rFonts w:ascii="仿宋_GB2312" w:hAnsi="Calibri"/>
          <w:spacing w:val="-2"/>
          <w:szCs w:val="32"/>
        </w:rPr>
      </w:pPr>
      <w:r w:rsidRPr="008C6AF0">
        <w:rPr>
          <w:rFonts w:ascii="仿宋_GB2312" w:hAnsi="Calibri" w:hint="eastAsia"/>
          <w:szCs w:val="32"/>
        </w:rPr>
        <w:t>（四）</w:t>
      </w:r>
      <w:r w:rsidRPr="008C6AF0">
        <w:rPr>
          <w:rFonts w:ascii="仿宋_GB2312" w:hAnsi="Calibri" w:hint="eastAsia"/>
          <w:spacing w:val="-2"/>
          <w:szCs w:val="32"/>
        </w:rPr>
        <w:t>指导、监督村民委员会做好传统村落保护和利用工作；</w:t>
      </w:r>
    </w:p>
    <w:p w:rsidR="00F71AAE" w:rsidRPr="008C6AF0" w:rsidRDefault="00F71AAE" w:rsidP="00134C63">
      <w:pPr>
        <w:overflowPunct w:val="0"/>
        <w:spacing w:line="560" w:lineRule="exact"/>
        <w:ind w:firstLine="630"/>
        <w:rPr>
          <w:rFonts w:ascii="仿宋_GB2312" w:hAnsi="Calibri"/>
          <w:szCs w:val="32"/>
        </w:rPr>
      </w:pPr>
      <w:r w:rsidRPr="008C6AF0">
        <w:rPr>
          <w:rFonts w:ascii="仿宋_GB2312" w:hAnsi="Calibri" w:hint="eastAsia"/>
          <w:szCs w:val="32"/>
        </w:rPr>
        <w:t>（五）法律、法规规定的其他职责。</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第七条</w:t>
      </w:r>
      <w:r w:rsidRPr="008C6AF0">
        <w:rPr>
          <w:rFonts w:ascii="仿宋_GB2312" w:hAnsi="Calibri"/>
          <w:szCs w:val="32"/>
        </w:rPr>
        <w:t xml:space="preserve">  </w:t>
      </w:r>
      <w:r w:rsidRPr="008C6AF0">
        <w:rPr>
          <w:rFonts w:ascii="仿宋_GB2312" w:hAnsi="Calibri" w:hint="eastAsia"/>
          <w:szCs w:val="32"/>
        </w:rPr>
        <w:t>传统村落所在地村民委员会履行下列职责：</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（一）参与传统村落保护发展规划的编制与实施；</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（二）将传统村落保护事项纳入村规民约，引导村民按照有关要求保护文物古迹、非物质文化遗产和传统建筑及其构件；</w:t>
      </w:r>
    </w:p>
    <w:p w:rsidR="00F71AAE" w:rsidRPr="008C6AF0" w:rsidRDefault="00F71AAE" w:rsidP="00134C63">
      <w:pPr>
        <w:overflowPunct w:val="0"/>
        <w:spacing w:line="560" w:lineRule="exact"/>
        <w:ind w:firstLine="630"/>
        <w:rPr>
          <w:rFonts w:ascii="仿宋_GB2312" w:hAnsi="Calibri"/>
          <w:szCs w:val="32"/>
        </w:rPr>
      </w:pPr>
      <w:r w:rsidRPr="008C6AF0">
        <w:rPr>
          <w:rFonts w:ascii="仿宋_GB2312" w:hAnsi="Calibri" w:hint="eastAsia"/>
          <w:szCs w:val="32"/>
        </w:rPr>
        <w:t>（三）对有损毁危险的传统建筑进行登记，对已经坍塌、散落的传统建筑构件进行收集、保护，并及时向乡（镇）人民政府、街道办事处报告；</w:t>
      </w:r>
    </w:p>
    <w:p w:rsidR="00F71AAE" w:rsidRPr="008C6AF0" w:rsidRDefault="00F71AAE" w:rsidP="00134C63">
      <w:pPr>
        <w:overflowPunct w:val="0"/>
        <w:spacing w:line="560" w:lineRule="exact"/>
        <w:ind w:firstLine="630"/>
        <w:rPr>
          <w:rFonts w:ascii="仿宋_GB2312" w:hAnsi="Calibri"/>
          <w:szCs w:val="32"/>
        </w:rPr>
      </w:pPr>
      <w:r w:rsidRPr="008C6AF0">
        <w:rPr>
          <w:rFonts w:ascii="仿宋_GB2312" w:hAnsi="Calibri" w:hint="eastAsia"/>
          <w:szCs w:val="32"/>
        </w:rPr>
        <w:t>（四）组织村民开展乡村文化活动，弘扬优秀传统民风民俗；</w:t>
      </w:r>
    </w:p>
    <w:p w:rsidR="00F71AAE" w:rsidRPr="008C6AF0" w:rsidRDefault="00F71AAE" w:rsidP="00134C63">
      <w:pPr>
        <w:overflowPunct w:val="0"/>
        <w:spacing w:line="560" w:lineRule="exact"/>
        <w:ind w:firstLine="630"/>
        <w:rPr>
          <w:rFonts w:ascii="仿宋_GB2312" w:hAnsi="Calibri"/>
          <w:szCs w:val="32"/>
        </w:rPr>
      </w:pPr>
      <w:r w:rsidRPr="008C6AF0">
        <w:rPr>
          <w:rFonts w:ascii="仿宋_GB2312" w:hAnsi="Calibri" w:hint="eastAsia"/>
          <w:szCs w:val="32"/>
        </w:rPr>
        <w:t>（五）对违反本条例的行为进行劝阻和制止，并及时向乡（镇）人民政府、街道办事处报告；</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（六）法律、法规规定的其他职责。</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第八条</w:t>
      </w:r>
      <w:r w:rsidRPr="008C6AF0">
        <w:rPr>
          <w:rFonts w:ascii="仿宋_GB2312" w:hAnsi="Calibri"/>
          <w:szCs w:val="32"/>
        </w:rPr>
        <w:t xml:space="preserve">  </w:t>
      </w:r>
      <w:r w:rsidRPr="008C6AF0">
        <w:rPr>
          <w:rFonts w:ascii="仿宋_GB2312" w:hAnsi="Calibri" w:hint="eastAsia"/>
          <w:szCs w:val="32"/>
        </w:rPr>
        <w:t>市、县（市、区）人民政府应当将传统村落保护经费列入本级财政预算，用于传统村落调查、规划编制、传统风貌修复、基础设施和公共服务设施建设、传统建筑抢救修缮、传统建筑工匠培训、传统文化传承与保护、消防安全防范、白蚁等病虫害防治、工作奖励等保护和利用工作。</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各级人民政府可以依照有关规定统筹使用各类涉及传统村落的财政资金，支持传统村落保护和利用工作。</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第九条</w:t>
      </w:r>
      <w:r w:rsidRPr="008C6AF0">
        <w:rPr>
          <w:rFonts w:ascii="仿宋_GB2312" w:hAnsi="Calibri"/>
          <w:szCs w:val="32"/>
        </w:rPr>
        <w:t xml:space="preserve">  </w:t>
      </w:r>
      <w:r w:rsidRPr="008C6AF0">
        <w:rPr>
          <w:rFonts w:ascii="仿宋_GB2312" w:hAnsi="Calibri" w:hint="eastAsia"/>
          <w:szCs w:val="32"/>
        </w:rPr>
        <w:t>市、县（市、区）住房和城乡建设主管部门应当建立传统村落保护专家评审委员会，对传统村落和传统建筑的认定、</w:t>
      </w:r>
      <w:r w:rsidRPr="008C6AF0">
        <w:rPr>
          <w:rFonts w:ascii="仿宋_GB2312" w:hAnsi="Calibri" w:hint="eastAsia"/>
          <w:szCs w:val="32"/>
        </w:rPr>
        <w:lastRenderedPageBreak/>
        <w:t>调整、撤销以及规划编制、传统建筑修缮、保护和利用项目实施等事项进行技术审查。</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专家评审委员会由住房和城乡建设、农业农村、自然资源和规划、文化（文物）旅游、生态环境、消防救援等主管部门专业人员和历史、经济、建筑、法律、民族、宗教等方面专家组成。</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第十条</w:t>
      </w:r>
      <w:r w:rsidRPr="008C6AF0">
        <w:rPr>
          <w:rFonts w:ascii="仿宋_GB2312" w:hAnsi="Calibri"/>
          <w:szCs w:val="32"/>
        </w:rPr>
        <w:t xml:space="preserve">  </w:t>
      </w:r>
      <w:r w:rsidRPr="008C6AF0">
        <w:rPr>
          <w:rFonts w:ascii="仿宋_GB2312" w:hAnsi="Calibri" w:hint="eastAsia"/>
          <w:szCs w:val="32"/>
        </w:rPr>
        <w:t>鼓励单位和个人依法通过投资、捐赠、租赁、入股、设立基金和提供技术服务等方式，参与传统村落保护和利用。</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鼓励成立传统村落保护志愿服务组织。</w:t>
      </w:r>
    </w:p>
    <w:p w:rsidR="00F71AAE" w:rsidRPr="008C6AF0" w:rsidRDefault="00F71AAE" w:rsidP="00134C63">
      <w:pPr>
        <w:overflowPunct w:val="0"/>
        <w:spacing w:line="560" w:lineRule="exact"/>
        <w:jc w:val="center"/>
        <w:rPr>
          <w:rFonts w:ascii="黑体" w:eastAsia="黑体" w:hAnsi="黑体"/>
          <w:szCs w:val="32"/>
        </w:rPr>
      </w:pPr>
    </w:p>
    <w:p w:rsidR="00F71AAE" w:rsidRPr="008C6AF0" w:rsidRDefault="00F71AAE" w:rsidP="00134C63">
      <w:pPr>
        <w:overflowPunct w:val="0"/>
        <w:spacing w:line="560" w:lineRule="exact"/>
        <w:jc w:val="center"/>
        <w:rPr>
          <w:rFonts w:ascii="黑体" w:eastAsia="黑体" w:hAnsi="黑体"/>
          <w:szCs w:val="32"/>
        </w:rPr>
      </w:pPr>
      <w:r w:rsidRPr="008C6AF0">
        <w:rPr>
          <w:rFonts w:ascii="黑体" w:eastAsia="黑体" w:hAnsi="黑体" w:hint="eastAsia"/>
          <w:szCs w:val="32"/>
        </w:rPr>
        <w:t>第二章</w:t>
      </w:r>
      <w:r w:rsidRPr="008C6AF0">
        <w:rPr>
          <w:rFonts w:ascii="黑体" w:eastAsia="黑体" w:hAnsi="黑体"/>
          <w:szCs w:val="32"/>
        </w:rPr>
        <w:t xml:space="preserve">  </w:t>
      </w:r>
      <w:r w:rsidRPr="008C6AF0">
        <w:rPr>
          <w:rFonts w:ascii="黑体" w:eastAsia="黑体" w:hAnsi="黑体" w:hint="eastAsia"/>
          <w:szCs w:val="32"/>
        </w:rPr>
        <w:t>规划编制</w:t>
      </w:r>
    </w:p>
    <w:p w:rsidR="00F71AAE" w:rsidRPr="008C6AF0" w:rsidRDefault="00F71AAE" w:rsidP="00134C63">
      <w:pPr>
        <w:overflowPunct w:val="0"/>
        <w:spacing w:line="560" w:lineRule="exact"/>
        <w:rPr>
          <w:rFonts w:ascii="仿宋_GB2312" w:hAnsi="Calibri"/>
          <w:szCs w:val="32"/>
        </w:rPr>
      </w:pP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第十一条</w:t>
      </w:r>
      <w:r w:rsidRPr="008C6AF0">
        <w:rPr>
          <w:rFonts w:ascii="仿宋_GB2312" w:hAnsi="Calibri"/>
          <w:szCs w:val="32"/>
        </w:rPr>
        <w:t xml:space="preserve">  </w:t>
      </w:r>
      <w:r w:rsidRPr="008C6AF0">
        <w:rPr>
          <w:rFonts w:ascii="仿宋_GB2312" w:hAnsi="Calibri" w:hint="eastAsia"/>
          <w:szCs w:val="32"/>
        </w:rPr>
        <w:t>传统村落所在地乡（镇）人民政府、街道办事处应当</w:t>
      </w:r>
      <w:proofErr w:type="gramStart"/>
      <w:r w:rsidRPr="008C6AF0">
        <w:rPr>
          <w:rFonts w:ascii="仿宋_GB2312" w:hAnsi="Calibri" w:hint="eastAsia"/>
          <w:szCs w:val="32"/>
        </w:rPr>
        <w:t>自传统</w:t>
      </w:r>
      <w:proofErr w:type="gramEnd"/>
      <w:r w:rsidRPr="008C6AF0">
        <w:rPr>
          <w:rFonts w:ascii="仿宋_GB2312" w:hAnsi="Calibri" w:hint="eastAsia"/>
          <w:szCs w:val="32"/>
        </w:rPr>
        <w:t>村落名录公布之日起二年内，组织编制完成传统村落保护发展规划，报县（市、区）人民政府批准。国家或者省对传统村落保护发展规划有规定的，从其规定。传统村落保护发展规划应当与村庄规划相衔接。</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保护发展规划报送审批前，应当经村民会议或者村民代表会议讨论同意，报县（市、区）住房和城乡建设主管部门组织专家评审委员会进行技术审查，并由乡（镇）人民政府、街道办事处将保护发展规划草案进行公示，公示期不得少于三十日。</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保护发展规划批准后，乡（镇）人民政府、街道办事处应当自保护发展规划批准之日起二十日内向社会公布。</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仿宋_GB2312" w:hAnsi="Calibri" w:hint="eastAsia"/>
          <w:szCs w:val="32"/>
        </w:rPr>
        <w:t>保护发展规划批准前，应当妥善处理影响村落传统风貌的建</w:t>
      </w:r>
      <w:r w:rsidRPr="008C6AF0">
        <w:rPr>
          <w:rFonts w:ascii="仿宋_GB2312" w:hAnsi="Calibri" w:hint="eastAsia"/>
          <w:szCs w:val="32"/>
        </w:rPr>
        <w:lastRenderedPageBreak/>
        <w:t>设活动。</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传统村落已经编制历史文化名村、历史文化村落等保护规划的，可以不再编制传统村落保护发展规划。</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第十二条</w:t>
      </w:r>
      <w:r w:rsidRPr="008C6AF0">
        <w:rPr>
          <w:rFonts w:ascii="仿宋_GB2312" w:hAnsi="Calibri"/>
          <w:szCs w:val="32"/>
        </w:rPr>
        <w:t xml:space="preserve">  </w:t>
      </w:r>
      <w:r w:rsidRPr="008C6AF0">
        <w:rPr>
          <w:rFonts w:ascii="仿宋_GB2312" w:hAnsi="Calibri" w:hint="eastAsia"/>
          <w:szCs w:val="32"/>
        </w:rPr>
        <w:t>传统村落保护发展规划内容应当包括：</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（一）村落传统资源状况评估，保护原则、保护范围和保护内容；</w:t>
      </w:r>
    </w:p>
    <w:p w:rsidR="00F71AAE" w:rsidRPr="008C6AF0" w:rsidRDefault="00F71AAE" w:rsidP="00134C63">
      <w:pPr>
        <w:overflowPunct w:val="0"/>
        <w:spacing w:line="560" w:lineRule="exact"/>
        <w:ind w:firstLine="645"/>
        <w:rPr>
          <w:rFonts w:ascii="仿宋_GB2312" w:hAnsi="Calibri"/>
          <w:szCs w:val="32"/>
        </w:rPr>
      </w:pPr>
      <w:r w:rsidRPr="008C6AF0">
        <w:rPr>
          <w:rFonts w:ascii="仿宋_GB2312" w:hAnsi="Calibri" w:hint="eastAsia"/>
          <w:szCs w:val="32"/>
        </w:rPr>
        <w:t>（二）保护和利用方向、发展定位和发展途径；</w:t>
      </w:r>
    </w:p>
    <w:p w:rsidR="00F71AAE" w:rsidRPr="008C6AF0" w:rsidRDefault="00F71AAE" w:rsidP="00134C63">
      <w:pPr>
        <w:overflowPunct w:val="0"/>
        <w:spacing w:line="560" w:lineRule="exact"/>
        <w:ind w:firstLine="645"/>
        <w:rPr>
          <w:rFonts w:ascii="仿宋_GB2312" w:hAnsi="Calibri"/>
          <w:szCs w:val="32"/>
        </w:rPr>
      </w:pPr>
      <w:r w:rsidRPr="008C6AF0">
        <w:rPr>
          <w:rFonts w:ascii="仿宋_GB2312" w:hAnsi="Calibri" w:hint="eastAsia"/>
          <w:szCs w:val="32"/>
        </w:rPr>
        <w:t>（三）</w:t>
      </w:r>
      <w:r w:rsidRPr="00DF021C">
        <w:rPr>
          <w:rFonts w:ascii="仿宋_GB2312" w:hAnsi="Calibri" w:hint="eastAsia"/>
          <w:spacing w:val="-4"/>
          <w:szCs w:val="32"/>
        </w:rPr>
        <w:t>保护范围划定，以及相应的保护措施和建设控制要求</w:t>
      </w:r>
      <w:r w:rsidRPr="008C6AF0">
        <w:rPr>
          <w:rFonts w:ascii="仿宋_GB2312" w:hAnsi="Calibri" w:hint="eastAsia"/>
          <w:szCs w:val="32"/>
        </w:rPr>
        <w:t>；</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（四）村落传统格局、自然环境、不可移动文物、历史环境要素和传统风貌保护的要求以及措施；</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（五）传统建筑分类保护利用的要求以及措施；</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（六）传统文化保护和传承的要求以及措施；</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（七）基础设施和公共服务设施更新改造、人居环境提升和消防安全、白蚁等病虫害防治的措施；</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（八）保护发展规划分期实施方案以及近期保护项目。</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传统村落应当编制村庄设计，村庄设计可以纳入传统村落保护发展规划。</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第十三条</w:t>
      </w:r>
      <w:r w:rsidRPr="008C6AF0">
        <w:rPr>
          <w:rFonts w:ascii="仿宋_GB2312" w:hAnsi="Calibri"/>
          <w:szCs w:val="32"/>
        </w:rPr>
        <w:t xml:space="preserve">  </w:t>
      </w:r>
      <w:r w:rsidRPr="008C6AF0">
        <w:rPr>
          <w:rFonts w:ascii="仿宋_GB2312" w:hAnsi="Calibri" w:hint="eastAsia"/>
          <w:szCs w:val="32"/>
        </w:rPr>
        <w:t>经依法批准的传统村落保护发展规划，不得擅自修改。</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具有下列情形之一，确需修改保护发展规划的，应当按照原审批程序报送审批：</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（一）传统村落保护发展规划所依据的法律、法规或者上位规划发生调整，影响原规划实施的；</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lastRenderedPageBreak/>
        <w:t xml:space="preserve">　　（二）因自然灾害或者重大事故等原因，致使传统村落保护发展规划的内容需要</w:t>
      </w:r>
      <w:proofErr w:type="gramStart"/>
      <w:r w:rsidRPr="008C6AF0">
        <w:rPr>
          <w:rFonts w:ascii="仿宋_GB2312" w:hAnsi="Calibri" w:hint="eastAsia"/>
          <w:szCs w:val="32"/>
        </w:rPr>
        <w:t>作出</w:t>
      </w:r>
      <w:proofErr w:type="gramEnd"/>
      <w:r w:rsidRPr="008C6AF0">
        <w:rPr>
          <w:rFonts w:ascii="仿宋_GB2312" w:hAnsi="Calibri" w:hint="eastAsia"/>
          <w:szCs w:val="32"/>
        </w:rPr>
        <w:t>重大调整的；</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（三）因国家、省重大工程建设，确需修改的；</w:t>
      </w:r>
    </w:p>
    <w:p w:rsidR="00F71AAE" w:rsidRPr="008C6AF0" w:rsidRDefault="00F71AAE" w:rsidP="00134C63">
      <w:pPr>
        <w:overflowPunct w:val="0"/>
        <w:spacing w:line="560" w:lineRule="exact"/>
        <w:ind w:firstLine="630"/>
        <w:rPr>
          <w:rFonts w:ascii="仿宋_GB2312" w:hAnsi="Calibri"/>
          <w:szCs w:val="32"/>
        </w:rPr>
      </w:pPr>
      <w:r w:rsidRPr="008C6AF0">
        <w:rPr>
          <w:rFonts w:ascii="仿宋_GB2312" w:hAnsi="Calibri" w:hint="eastAsia"/>
          <w:szCs w:val="32"/>
        </w:rPr>
        <w:t>（四）其他经县（市、区）人民政府论证后确需修改的。</w:t>
      </w:r>
    </w:p>
    <w:p w:rsidR="00F71AAE" w:rsidRPr="008C6AF0" w:rsidRDefault="00F71AAE" w:rsidP="00134C63">
      <w:pPr>
        <w:overflowPunct w:val="0"/>
        <w:spacing w:line="560" w:lineRule="exact"/>
        <w:ind w:firstLine="630"/>
        <w:rPr>
          <w:rFonts w:ascii="仿宋_GB2312" w:hAnsi="Calibri"/>
          <w:szCs w:val="32"/>
        </w:rPr>
      </w:pPr>
    </w:p>
    <w:p w:rsidR="00F71AAE" w:rsidRPr="008C6AF0" w:rsidRDefault="00F71AAE" w:rsidP="00134C63">
      <w:pPr>
        <w:overflowPunct w:val="0"/>
        <w:spacing w:line="560" w:lineRule="exact"/>
        <w:jc w:val="center"/>
        <w:rPr>
          <w:rFonts w:ascii="黑体" w:eastAsia="黑体" w:hAnsi="黑体"/>
          <w:szCs w:val="32"/>
        </w:rPr>
      </w:pPr>
      <w:r w:rsidRPr="008C6AF0">
        <w:rPr>
          <w:rFonts w:ascii="黑体" w:eastAsia="黑体" w:hAnsi="黑体" w:hint="eastAsia"/>
          <w:szCs w:val="32"/>
        </w:rPr>
        <w:t>第三章</w:t>
      </w:r>
      <w:r w:rsidRPr="008C6AF0">
        <w:rPr>
          <w:rFonts w:ascii="黑体" w:eastAsia="黑体" w:hAnsi="黑体"/>
          <w:szCs w:val="32"/>
        </w:rPr>
        <w:t xml:space="preserve">  </w:t>
      </w:r>
      <w:r w:rsidRPr="008C6AF0">
        <w:rPr>
          <w:rFonts w:ascii="黑体" w:eastAsia="黑体" w:hAnsi="黑体" w:hint="eastAsia"/>
          <w:szCs w:val="32"/>
        </w:rPr>
        <w:t>保护措施</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第十四条</w:t>
      </w:r>
      <w:r w:rsidRPr="008C6AF0">
        <w:rPr>
          <w:rFonts w:ascii="仿宋_GB2312" w:hAnsi="Calibri"/>
          <w:szCs w:val="32"/>
        </w:rPr>
        <w:t xml:space="preserve">  </w:t>
      </w:r>
      <w:r w:rsidRPr="008C6AF0">
        <w:rPr>
          <w:rFonts w:ascii="仿宋_GB2312" w:hAnsi="Calibri" w:hint="eastAsia"/>
          <w:szCs w:val="32"/>
        </w:rPr>
        <w:t>传统村落应当整体保护，保持村落空间和生态环境的完整性，维护文化遗产形态、内涵和村民生产生活的真实性、延续性。</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传统村落保护应当尊重村民的生活习惯和生产方式，鼓励原住村民在原址居住，合理控制商业开发程度，促进村落原有形态、生活方式的延续传承。</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第十五条</w:t>
      </w:r>
      <w:r w:rsidRPr="008C6AF0">
        <w:rPr>
          <w:rFonts w:ascii="仿宋_GB2312" w:hAnsi="Calibri"/>
          <w:szCs w:val="32"/>
        </w:rPr>
        <w:t xml:space="preserve">  </w:t>
      </w:r>
      <w:r w:rsidRPr="008C6AF0">
        <w:rPr>
          <w:rFonts w:ascii="仿宋_GB2312" w:hAnsi="Calibri" w:hint="eastAsia"/>
          <w:szCs w:val="32"/>
        </w:rPr>
        <w:t>县（市、区）人民政府应当在传统村落主要出入口设立传统村落保护标识，在传统建筑的显著位置设置传统建筑保护标识。</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县（市、区）住房和城乡建设主管部门应当会同城乡规划、文化（文物）旅游、档案等部门，建立传统村落和传统建筑档案。</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第十六条</w:t>
      </w:r>
      <w:r w:rsidRPr="008C6AF0">
        <w:rPr>
          <w:rFonts w:ascii="仿宋_GB2312" w:hAnsi="Calibri" w:hint="eastAsia"/>
          <w:szCs w:val="32"/>
        </w:rPr>
        <w:t>传统村落保护范围包括核心保护区和建设控制区。必要时，设定风貌协调区。</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传统村落保护范围内，禁止进行下列活动：</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（一）破坏传统格局和传统风貌的开山采石、山地开发、</w:t>
      </w:r>
      <w:proofErr w:type="gramStart"/>
      <w:r w:rsidRPr="008C6AF0">
        <w:rPr>
          <w:rFonts w:ascii="仿宋_GB2312" w:hAnsi="Calibri" w:hint="eastAsia"/>
          <w:szCs w:val="32"/>
        </w:rPr>
        <w:t>垦造耕地</w:t>
      </w:r>
      <w:proofErr w:type="gramEnd"/>
      <w:r w:rsidRPr="008C6AF0">
        <w:rPr>
          <w:rFonts w:ascii="仿宋_GB2312" w:hAnsi="Calibri" w:hint="eastAsia"/>
          <w:szCs w:val="32"/>
        </w:rPr>
        <w:t>等活动；</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lastRenderedPageBreak/>
        <w:t xml:space="preserve">　　（二）破坏、占用传统村落保护发展规划确定保留的森林、耕地、湿地、园林绿地、河湖水系、路桥涵垣等自然景观和历史环境要素；</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（三）修建生产、储存易燃性、爆炸性、毒害性、放射性和腐蚀性等物品的工厂、仓库等；</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（四）法律、法规禁止的其他活动。</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第十七条</w:t>
      </w:r>
      <w:r w:rsidRPr="008C6AF0">
        <w:rPr>
          <w:rFonts w:ascii="仿宋_GB2312" w:hAnsi="Calibri"/>
          <w:szCs w:val="32"/>
        </w:rPr>
        <w:t xml:space="preserve">  </w:t>
      </w:r>
      <w:r w:rsidRPr="008C6AF0">
        <w:rPr>
          <w:rFonts w:ascii="仿宋_GB2312" w:hAnsi="Calibri" w:hint="eastAsia"/>
          <w:szCs w:val="32"/>
        </w:rPr>
        <w:t>在传统村落核心保护区内，不得进行新建、扩建活动，但传统村落保护发展规划确定的基础设施和公共服务设施除外；改建、重建、修缮和装饰装修建（构）筑物，设置标识、广告等，应当符合传统村落保护发展规划的要求，与村落传统风貌相协调。</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对传统村落核心保护区内已经存在的与传统村落整体风貌不相协调的建（构）筑物，可以依法采取补偿、置换等方式予以改造、拆除。</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第十八条</w:t>
      </w:r>
      <w:r w:rsidRPr="008C6AF0">
        <w:rPr>
          <w:rFonts w:ascii="仿宋_GB2312" w:hAnsi="Calibri"/>
          <w:szCs w:val="32"/>
        </w:rPr>
        <w:t xml:space="preserve">  </w:t>
      </w:r>
      <w:r w:rsidRPr="008C6AF0">
        <w:rPr>
          <w:rFonts w:ascii="仿宋_GB2312" w:hAnsi="Calibri" w:hint="eastAsia"/>
          <w:szCs w:val="32"/>
        </w:rPr>
        <w:t>在传统村落建设控制区内，新建、扩建、改建、重建、修缮和装饰装修建（构）筑物的，应当符合传统村落保护发展规划的要求，保持建筑高度、体量、形态、色彩以及构造装饰与村落传统风貌协调一致，不得影响村落核心保护区的轮廓线和主要视线走廊。</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第十九条</w:t>
      </w:r>
      <w:r w:rsidRPr="008C6AF0">
        <w:rPr>
          <w:rFonts w:ascii="仿宋_GB2312" w:hAnsi="Calibri"/>
          <w:szCs w:val="32"/>
        </w:rPr>
        <w:t xml:space="preserve">  </w:t>
      </w:r>
      <w:r w:rsidRPr="008C6AF0">
        <w:rPr>
          <w:rFonts w:ascii="仿宋_GB2312" w:hAnsi="Calibri" w:hint="eastAsia"/>
          <w:szCs w:val="32"/>
        </w:rPr>
        <w:t>在传统村落风貌协调区内，应当做好自然环境保护，为核心保护区和建设控制区提供良好的保护屏障和景观背景。</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第二十条</w:t>
      </w:r>
      <w:r w:rsidRPr="008C6AF0">
        <w:rPr>
          <w:rFonts w:ascii="黑体" w:eastAsia="黑体" w:hAnsi="黑体"/>
          <w:szCs w:val="32"/>
        </w:rPr>
        <w:t xml:space="preserve"> </w:t>
      </w:r>
      <w:r w:rsidRPr="008C6AF0">
        <w:rPr>
          <w:rFonts w:ascii="仿宋_GB2312" w:hAnsi="Calibri"/>
          <w:szCs w:val="32"/>
        </w:rPr>
        <w:t xml:space="preserve"> </w:t>
      </w:r>
      <w:r w:rsidRPr="008C6AF0">
        <w:rPr>
          <w:rFonts w:ascii="仿宋_GB2312" w:hAnsi="Calibri" w:hint="eastAsia"/>
          <w:szCs w:val="32"/>
        </w:rPr>
        <w:t>市住房和城乡建设主管部门应当会同城乡规划、文化（文物）旅游等主管部门，组织编制传统村落保护利用技术</w:t>
      </w:r>
      <w:r w:rsidRPr="008C6AF0">
        <w:rPr>
          <w:rFonts w:ascii="仿宋_GB2312" w:hAnsi="Calibri" w:hint="eastAsia"/>
          <w:szCs w:val="32"/>
        </w:rPr>
        <w:lastRenderedPageBreak/>
        <w:t>导则，引导传统建筑、道路街巷肌理和历史环境要素修复。</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第二十一条</w:t>
      </w:r>
      <w:r w:rsidRPr="008C6AF0">
        <w:rPr>
          <w:rFonts w:ascii="仿宋_GB2312" w:hAnsi="Calibri"/>
          <w:szCs w:val="32"/>
        </w:rPr>
        <w:t xml:space="preserve">  </w:t>
      </w:r>
      <w:r w:rsidRPr="008C6AF0">
        <w:rPr>
          <w:rFonts w:ascii="仿宋_GB2312" w:hAnsi="Calibri" w:hint="eastAsia"/>
          <w:szCs w:val="32"/>
        </w:rPr>
        <w:t>使用传统材料、具有传统形制、运用传统工艺建造，建成年代较早，具有一定历史、文化、科学、艺术、社会等价值，能够反映特定时期传统风貌、民族和地方特色，未公布为不可移动文物或者历史建筑，列入传统建筑保护名录的建（构）筑物，是本条例所称的传统建筑。</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传统建筑保护名录，由县（市、区）住房和城乡建设主管部门会同有关部门编制，并征求利害关系人和专家评审委员会的意见后，报本级人民政府确定公布。</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第二十二条</w:t>
      </w:r>
      <w:r w:rsidRPr="008C6AF0">
        <w:rPr>
          <w:rFonts w:ascii="仿宋_GB2312" w:hAnsi="Calibri"/>
          <w:szCs w:val="32"/>
        </w:rPr>
        <w:t xml:space="preserve">  </w:t>
      </w:r>
      <w:r w:rsidRPr="008C6AF0">
        <w:rPr>
          <w:rFonts w:ascii="仿宋_GB2312" w:hAnsi="Calibri" w:hint="eastAsia"/>
          <w:szCs w:val="32"/>
        </w:rPr>
        <w:t>传统建筑的维护和修缮，由所有权人负责；所有权人与使用权人另有约定的，从其约定；没有所有权人或者所有权人下落不明的，由村民委员会负责。</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县（市、区）人民政府可以制定具体办法对传统建筑维护修缮给予财政补助、贷款贴息、奖励等。</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传统村落核心保护区内的传统建筑有灭失危险且确有保护价值的，所有权人、使用权人或者村民委员会不具备维护和修缮能力的，县（市、区）人民政府、乡（镇）人民政府、街道办事处可以采取措施进行保护，所有权人、使用权人或者村民委员会应当予以配合。</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第二十三条</w:t>
      </w:r>
      <w:r w:rsidR="001D62D6">
        <w:rPr>
          <w:rFonts w:ascii="黑体" w:eastAsia="黑体" w:hAnsi="黑体" w:hint="eastAsia"/>
          <w:szCs w:val="32"/>
        </w:rPr>
        <w:t xml:space="preserve">  </w:t>
      </w:r>
      <w:r w:rsidRPr="008C6AF0">
        <w:rPr>
          <w:rFonts w:ascii="仿宋_GB2312" w:hAnsi="Calibri" w:hint="eastAsia"/>
          <w:szCs w:val="32"/>
        </w:rPr>
        <w:t>传统建筑的修缮由传统建筑工匠或者具有相应资质的单位施工，鼓励采用传统建造技术和既有传统建筑材料。</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在保证结构安全和保持传统风貌、建筑形式不变的前提下，可以改善传统建筑通风采光、节能保温、给排水、环境卫生等生</w:t>
      </w:r>
      <w:r w:rsidRPr="008C6AF0">
        <w:rPr>
          <w:rFonts w:ascii="仿宋_GB2312" w:hAnsi="Calibri" w:hint="eastAsia"/>
          <w:szCs w:val="32"/>
        </w:rPr>
        <w:lastRenderedPageBreak/>
        <w:t>活设施。</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第二十四条</w:t>
      </w:r>
      <w:r w:rsidR="001D62D6">
        <w:rPr>
          <w:rFonts w:ascii="黑体" w:eastAsia="黑体" w:hAnsi="黑体" w:hint="eastAsia"/>
          <w:szCs w:val="32"/>
        </w:rPr>
        <w:t xml:space="preserve">  </w:t>
      </w:r>
      <w:r w:rsidRPr="008C6AF0">
        <w:rPr>
          <w:rFonts w:ascii="仿宋_GB2312" w:hAnsi="Calibri" w:hint="eastAsia"/>
          <w:szCs w:val="32"/>
        </w:rPr>
        <w:t>禁止任何单位和个人进行下列损坏传统建筑的行为：</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（一）擅自拆除、迁建传统建筑；</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（二）转让传统建筑的构件；</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（三）在传统建筑内生产、存储、经营易燃性、爆炸性、毒害性、放射性和腐蚀性等物品；</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（四）破坏传统建筑的整体风貌；</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（五）在传统建筑上</w:t>
      </w:r>
      <w:proofErr w:type="gramStart"/>
      <w:r w:rsidRPr="008C6AF0">
        <w:rPr>
          <w:rFonts w:ascii="仿宋_GB2312" w:hAnsi="Calibri" w:hint="eastAsia"/>
          <w:szCs w:val="32"/>
        </w:rPr>
        <w:t>刻划</w:t>
      </w:r>
      <w:proofErr w:type="gramEnd"/>
      <w:r w:rsidRPr="008C6AF0">
        <w:rPr>
          <w:rFonts w:ascii="仿宋_GB2312" w:hAnsi="Calibri" w:hint="eastAsia"/>
          <w:szCs w:val="32"/>
        </w:rPr>
        <w:t>、涂污；</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（六）其他损害传统建筑的行为。</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第二十五条</w:t>
      </w:r>
      <w:r w:rsidR="00913D3B">
        <w:rPr>
          <w:rFonts w:ascii="黑体" w:eastAsia="黑体" w:hAnsi="黑体" w:hint="eastAsia"/>
          <w:szCs w:val="32"/>
        </w:rPr>
        <w:t xml:space="preserve">  </w:t>
      </w:r>
      <w:r w:rsidRPr="008C6AF0">
        <w:rPr>
          <w:rFonts w:ascii="仿宋_GB2312" w:hAnsi="Calibri" w:hint="eastAsia"/>
          <w:szCs w:val="32"/>
        </w:rPr>
        <w:t>市住房和城乡建设主管部门应当会同市人力资源和社会保障等部门建立传统建筑工匠人才评价体系。县（市、区）住房和城乡建设主管部门应当会同文化（文物）旅游、人力资源和社会保障、农业农村等主管部门对传统建筑工匠免费提供专业技能、安全知识等培训。</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鼓励传统建筑工匠依法成立行业协会，开展技艺传承活动，加强行业自律管理，规范从业行为，维护合法权益。</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第二十六条</w:t>
      </w:r>
      <w:r w:rsidRPr="008C6AF0">
        <w:rPr>
          <w:rFonts w:ascii="仿宋_GB2312" w:hAnsi="Calibri"/>
          <w:szCs w:val="32"/>
        </w:rPr>
        <w:t xml:space="preserve">  </w:t>
      </w:r>
      <w:r w:rsidRPr="008C6AF0">
        <w:rPr>
          <w:rFonts w:ascii="仿宋_GB2312" w:hAnsi="Calibri" w:hint="eastAsia"/>
          <w:szCs w:val="32"/>
        </w:rPr>
        <w:t>传统村落所在地的乡（镇）人民政府、街道办事处应当会同县（市、区）住房和城乡建设、应急管理等部门和消防救援机构根据传统村落的实际情况制定消防安全保障方案。</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传统村落所在地村民委员会应当建立志愿消防队伍，组织开展消防安全巡查和检查，做好群众性自防自救工作。</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县（市、区）人民政府应当加强传统村落白蚁防治工作，制</w:t>
      </w:r>
      <w:r w:rsidRPr="008C6AF0">
        <w:rPr>
          <w:rFonts w:ascii="仿宋_GB2312" w:hAnsi="Calibri" w:hint="eastAsia"/>
          <w:szCs w:val="32"/>
        </w:rPr>
        <w:lastRenderedPageBreak/>
        <w:t>定白蚁防治方案，安排白蚁防治资金。传统村落所在地村民委员会应当督促传统建筑所有权人或者使用权人开展白蚁等病虫害防治。</w:t>
      </w:r>
    </w:p>
    <w:p w:rsidR="00F71AAE" w:rsidRPr="008C6AF0" w:rsidRDefault="00F71AAE" w:rsidP="00134C63">
      <w:pPr>
        <w:overflowPunct w:val="0"/>
        <w:spacing w:line="560" w:lineRule="exact"/>
        <w:jc w:val="center"/>
        <w:rPr>
          <w:rFonts w:ascii="黑体" w:eastAsia="黑体" w:hAnsi="黑体"/>
          <w:szCs w:val="32"/>
        </w:rPr>
      </w:pPr>
    </w:p>
    <w:p w:rsidR="00F71AAE" w:rsidRPr="008C6AF0" w:rsidRDefault="00F71AAE" w:rsidP="00134C63">
      <w:pPr>
        <w:overflowPunct w:val="0"/>
        <w:spacing w:line="560" w:lineRule="exact"/>
        <w:jc w:val="center"/>
        <w:rPr>
          <w:rFonts w:ascii="黑体" w:eastAsia="黑体" w:hAnsi="黑体"/>
          <w:szCs w:val="32"/>
        </w:rPr>
      </w:pPr>
      <w:r w:rsidRPr="008C6AF0">
        <w:rPr>
          <w:rFonts w:ascii="黑体" w:eastAsia="黑体" w:hAnsi="黑体" w:hint="eastAsia"/>
          <w:szCs w:val="32"/>
        </w:rPr>
        <w:t>第四章</w:t>
      </w:r>
      <w:r w:rsidRPr="008C6AF0">
        <w:rPr>
          <w:rFonts w:ascii="黑体" w:eastAsia="黑体" w:hAnsi="黑体"/>
          <w:szCs w:val="32"/>
        </w:rPr>
        <w:t xml:space="preserve">  </w:t>
      </w:r>
      <w:r w:rsidRPr="008C6AF0">
        <w:rPr>
          <w:rFonts w:ascii="黑体" w:eastAsia="黑体" w:hAnsi="黑体" w:hint="eastAsia"/>
          <w:szCs w:val="32"/>
        </w:rPr>
        <w:t>合理利用</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第二十七条</w:t>
      </w:r>
      <w:r w:rsidRPr="008C6AF0">
        <w:rPr>
          <w:rFonts w:ascii="仿宋_GB2312" w:hAnsi="Calibri"/>
          <w:szCs w:val="32"/>
        </w:rPr>
        <w:t xml:space="preserve">  </w:t>
      </w:r>
      <w:r w:rsidRPr="008C6AF0">
        <w:rPr>
          <w:rFonts w:ascii="仿宋_GB2312" w:hAnsi="Calibri" w:hint="eastAsia"/>
          <w:szCs w:val="32"/>
        </w:rPr>
        <w:t>传统村落的村民可以以房屋、资金、劳务和农村土地（林地）承包经营权等入股的方式，参与传统村落保护和利用工作。</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利用传统村落资源从事经营活动的，应当尊重村民意愿，并依法对权益分配等事项</w:t>
      </w:r>
      <w:proofErr w:type="gramStart"/>
      <w:r w:rsidRPr="008C6AF0">
        <w:rPr>
          <w:rFonts w:ascii="仿宋_GB2312" w:hAnsi="Calibri" w:hint="eastAsia"/>
          <w:szCs w:val="32"/>
        </w:rPr>
        <w:t>作出</w:t>
      </w:r>
      <w:proofErr w:type="gramEnd"/>
      <w:r w:rsidRPr="008C6AF0">
        <w:rPr>
          <w:rFonts w:ascii="仿宋_GB2312" w:hAnsi="Calibri" w:hint="eastAsia"/>
          <w:szCs w:val="32"/>
        </w:rPr>
        <w:t>约定。</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第二十八条</w:t>
      </w:r>
      <w:r w:rsidRPr="008C6AF0">
        <w:rPr>
          <w:rFonts w:ascii="仿宋_GB2312" w:hAnsi="Calibri"/>
          <w:szCs w:val="32"/>
        </w:rPr>
        <w:t xml:space="preserve">  </w:t>
      </w:r>
      <w:r w:rsidRPr="008C6AF0">
        <w:rPr>
          <w:rFonts w:ascii="仿宋_GB2312" w:hAnsi="Calibri" w:hint="eastAsia"/>
          <w:szCs w:val="32"/>
        </w:rPr>
        <w:t>市、县（市、区）人民政府应当将传统村落纳入本级旅游发展规划和乡村旅游规划，支持传统村落参与乡村旅游品牌认定。</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支持在传统村落内开展下列经营活动：</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（一）发展特色种植养殖、农产品加工、休闲观光、创意农业等；</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（二）利用传统建筑开设博物馆、纪念馆、非物质文化遗产传习和展示场所以及传统作坊、传统商铺、中医中药馆、名家工作室、农家乐、民宿等；</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（三）利用红色资源开展教育培训活动等；</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（四）发展现代服务业、电子商务和文化创意产业等；</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（五）其他符合传统村落实际的经营活动。</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lastRenderedPageBreak/>
        <w:t>第二十九条</w:t>
      </w:r>
      <w:r w:rsidRPr="008C6AF0">
        <w:rPr>
          <w:rFonts w:ascii="黑体" w:eastAsia="黑体" w:hAnsi="黑体"/>
          <w:szCs w:val="32"/>
        </w:rPr>
        <w:t xml:space="preserve"> </w:t>
      </w:r>
      <w:r w:rsidRPr="008C6AF0">
        <w:rPr>
          <w:rFonts w:ascii="仿宋_GB2312" w:hAnsi="Calibri"/>
          <w:szCs w:val="32"/>
        </w:rPr>
        <w:t xml:space="preserve"> </w:t>
      </w:r>
      <w:r w:rsidRPr="008C6AF0">
        <w:rPr>
          <w:rFonts w:ascii="仿宋_GB2312" w:hAnsi="Calibri" w:hint="eastAsia"/>
          <w:szCs w:val="32"/>
        </w:rPr>
        <w:t>市、县（市、区）人民政府应当统筹安排建设用地指标，优先保障传统村落保护发展规划实施需要。编制传统村落保护发展规划时，有条件的村落应当预留建设区。</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传统村落村民经批准易地建造住宅的，应当与村民委员会或者农村集体经济组织依法就原宅基地上的传统建筑处置达成协议。原宅基地上的传统建筑按照处置协议收归村民委员会或者农村集体经济组织所有，且不用于村民日常居住的，其占地面积不计入村庄规划的村民住宅用地。</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第三十条</w:t>
      </w:r>
      <w:r w:rsidRPr="008C6AF0">
        <w:rPr>
          <w:rFonts w:ascii="仿宋_GB2312" w:hAnsi="Calibri"/>
          <w:szCs w:val="32"/>
        </w:rPr>
        <w:t xml:space="preserve">  </w:t>
      </w:r>
      <w:r w:rsidRPr="008C6AF0">
        <w:rPr>
          <w:rFonts w:ascii="仿宋_GB2312" w:hAnsi="Calibri" w:hint="eastAsia"/>
          <w:szCs w:val="32"/>
        </w:rPr>
        <w:t>县（市、区）文化主管部门应当会同有关部门，对传统村落中留存的民俗文化、耕读文化、地名文化、传统技艺等传统文化进行调查、收集、整理、研究，推动传统文化保护、传承和传播。</w:t>
      </w:r>
    </w:p>
    <w:p w:rsidR="00F71AAE" w:rsidRDefault="00F71AAE" w:rsidP="00134C63">
      <w:pPr>
        <w:overflowPunct w:val="0"/>
        <w:spacing w:line="560" w:lineRule="exact"/>
        <w:rPr>
          <w:rFonts w:ascii="黑体" w:eastAsia="黑体" w:hAnsi="黑体"/>
          <w:szCs w:val="32"/>
        </w:rPr>
      </w:pPr>
    </w:p>
    <w:p w:rsidR="00F71AAE" w:rsidRPr="008C6AF0" w:rsidRDefault="00F71AAE" w:rsidP="00134C63">
      <w:pPr>
        <w:overflowPunct w:val="0"/>
        <w:spacing w:line="560" w:lineRule="exact"/>
        <w:jc w:val="center"/>
        <w:rPr>
          <w:rFonts w:ascii="黑体" w:eastAsia="黑体" w:hAnsi="黑体"/>
          <w:szCs w:val="32"/>
        </w:rPr>
      </w:pPr>
      <w:r w:rsidRPr="008C6AF0">
        <w:rPr>
          <w:rFonts w:ascii="黑体" w:eastAsia="黑体" w:hAnsi="黑体" w:hint="eastAsia"/>
          <w:szCs w:val="32"/>
        </w:rPr>
        <w:t>第五章</w:t>
      </w:r>
      <w:r w:rsidRPr="008C6AF0">
        <w:rPr>
          <w:rFonts w:ascii="黑体" w:eastAsia="黑体" w:hAnsi="黑体"/>
          <w:szCs w:val="32"/>
        </w:rPr>
        <w:t xml:space="preserve">  </w:t>
      </w:r>
      <w:r w:rsidRPr="008C6AF0">
        <w:rPr>
          <w:rFonts w:ascii="黑体" w:eastAsia="黑体" w:hAnsi="黑体" w:hint="eastAsia"/>
          <w:szCs w:val="32"/>
        </w:rPr>
        <w:t>监督检查</w:t>
      </w:r>
    </w:p>
    <w:p w:rsidR="00F71AAE" w:rsidRPr="008C6AF0" w:rsidRDefault="00F71AAE" w:rsidP="00134C63">
      <w:pPr>
        <w:overflowPunct w:val="0"/>
        <w:spacing w:line="560" w:lineRule="exact"/>
        <w:rPr>
          <w:rFonts w:ascii="仿宋_GB2312" w:hAnsi="Calibri"/>
          <w:szCs w:val="32"/>
        </w:rPr>
      </w:pP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第三十一条</w:t>
      </w:r>
      <w:r w:rsidRPr="008C6AF0">
        <w:rPr>
          <w:rFonts w:ascii="黑体" w:eastAsia="黑体" w:hAnsi="黑体"/>
          <w:szCs w:val="32"/>
        </w:rPr>
        <w:t xml:space="preserve"> </w:t>
      </w:r>
      <w:r w:rsidRPr="008C6AF0">
        <w:rPr>
          <w:rFonts w:ascii="仿宋_GB2312" w:hAnsi="Calibri"/>
          <w:szCs w:val="32"/>
        </w:rPr>
        <w:t xml:space="preserve"> </w:t>
      </w:r>
      <w:r w:rsidRPr="008C6AF0">
        <w:rPr>
          <w:rFonts w:ascii="仿宋_GB2312" w:hAnsi="Calibri" w:hint="eastAsia"/>
          <w:szCs w:val="32"/>
        </w:rPr>
        <w:t>市、县（市、区）住房和城乡建设主管部门应当会同有关部门对传统村落保护和利用状况进行监督检查，发现存在未及时组织编制传统村落保护发展规划、违反传统村落保护发展规划开发建设、对传统格局以及传统建筑保护不力等问题的，应当及时向本级人民政府报告并提出整改意见。</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传统村落因保护不力导致传统格局和风貌受到严重影响的，由市、县（市、区）住房和城乡建设主管部门报请本级人民政府责成限期整改。</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lastRenderedPageBreak/>
        <w:t xml:space="preserve">　　整改期限届满后，由市、县（市、区）住房和城乡建设主管部门会同有关部门，组织专家评审委员会进行审核。审核未通过的，提请该传统村落的批准机关将其列入警示目录，直至退出传统村落名录。</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第三十二条</w:t>
      </w:r>
      <w:r w:rsidRPr="008C6AF0">
        <w:rPr>
          <w:rFonts w:ascii="仿宋_GB2312" w:hAnsi="Calibri"/>
          <w:szCs w:val="32"/>
        </w:rPr>
        <w:t xml:space="preserve">  </w:t>
      </w:r>
      <w:r w:rsidRPr="008C6AF0">
        <w:rPr>
          <w:rFonts w:ascii="仿宋_GB2312" w:hAnsi="Calibri" w:hint="eastAsia"/>
          <w:szCs w:val="32"/>
        </w:rPr>
        <w:t>县（市、区）住房和城乡建设主管部门应当会同乡（镇）人民政府、街道办事处督促指导村民委员会建立健全传统村落保护责任清单和相关档案移交机制，明确并公示保护对象等级、保护事项和保护责任人等。</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第三十三条</w:t>
      </w:r>
      <w:r w:rsidRPr="008C6AF0">
        <w:rPr>
          <w:rFonts w:ascii="黑体" w:eastAsia="黑体" w:hAnsi="黑体"/>
          <w:szCs w:val="32"/>
        </w:rPr>
        <w:t xml:space="preserve"> </w:t>
      </w:r>
      <w:r w:rsidRPr="008C6AF0">
        <w:rPr>
          <w:rFonts w:ascii="仿宋_GB2312" w:hAnsi="Calibri"/>
          <w:szCs w:val="32"/>
        </w:rPr>
        <w:t xml:space="preserve"> </w:t>
      </w:r>
      <w:r w:rsidRPr="008C6AF0">
        <w:rPr>
          <w:rFonts w:ascii="仿宋_GB2312" w:hAnsi="Calibri" w:hint="eastAsia"/>
          <w:szCs w:val="32"/>
        </w:rPr>
        <w:t>乡（镇）人民政府、街道办事处应当加强对传统村落的日常巡查，发现违反保护发展规划、破坏村落传统格局和风貌行为的，应当依法予以处置。</w:t>
      </w:r>
    </w:p>
    <w:p w:rsidR="00F71AAE" w:rsidRPr="008C6AF0" w:rsidRDefault="00F71AAE" w:rsidP="001D62D6">
      <w:pPr>
        <w:overflowPunct w:val="0"/>
        <w:spacing w:line="560" w:lineRule="exact"/>
        <w:ind w:firstLineChars="200" w:firstLine="632"/>
        <w:rPr>
          <w:rFonts w:ascii="仿宋_GB2312" w:hAnsi="Calibri"/>
          <w:szCs w:val="32"/>
        </w:rPr>
      </w:pPr>
    </w:p>
    <w:p w:rsidR="00F71AAE" w:rsidRPr="008C6AF0" w:rsidRDefault="00F71AAE" w:rsidP="00134C63">
      <w:pPr>
        <w:overflowPunct w:val="0"/>
        <w:spacing w:line="560" w:lineRule="exact"/>
        <w:jc w:val="center"/>
        <w:rPr>
          <w:rFonts w:ascii="黑体" w:eastAsia="黑体" w:hAnsi="黑体"/>
          <w:szCs w:val="32"/>
        </w:rPr>
      </w:pPr>
      <w:r w:rsidRPr="008C6AF0">
        <w:rPr>
          <w:rFonts w:ascii="黑体" w:eastAsia="黑体" w:hAnsi="黑体" w:hint="eastAsia"/>
          <w:szCs w:val="32"/>
        </w:rPr>
        <w:t>第六章</w:t>
      </w:r>
      <w:r w:rsidRPr="008C6AF0">
        <w:rPr>
          <w:rFonts w:ascii="黑体" w:eastAsia="黑体" w:hAnsi="黑体"/>
          <w:szCs w:val="32"/>
        </w:rPr>
        <w:t xml:space="preserve">  </w:t>
      </w:r>
      <w:r w:rsidRPr="008C6AF0">
        <w:rPr>
          <w:rFonts w:ascii="黑体" w:eastAsia="黑体" w:hAnsi="黑体" w:hint="eastAsia"/>
          <w:szCs w:val="32"/>
        </w:rPr>
        <w:t>法律责任</w:t>
      </w:r>
    </w:p>
    <w:p w:rsidR="00F71AAE" w:rsidRPr="008C6AF0" w:rsidRDefault="00F71AAE" w:rsidP="00134C63">
      <w:pPr>
        <w:overflowPunct w:val="0"/>
        <w:spacing w:line="560" w:lineRule="exact"/>
        <w:jc w:val="center"/>
        <w:rPr>
          <w:rFonts w:ascii="黑体" w:eastAsia="黑体" w:hAnsi="黑体"/>
          <w:szCs w:val="32"/>
        </w:rPr>
      </w:pP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第三十四条</w:t>
      </w:r>
      <w:r w:rsidRPr="008C6AF0">
        <w:rPr>
          <w:rFonts w:ascii="黑体" w:eastAsia="黑体" w:hAnsi="黑体"/>
          <w:szCs w:val="32"/>
        </w:rPr>
        <w:t xml:space="preserve">  </w:t>
      </w:r>
      <w:r w:rsidRPr="008C6AF0">
        <w:rPr>
          <w:rFonts w:ascii="仿宋_GB2312" w:hAnsi="Calibri" w:hint="eastAsia"/>
          <w:szCs w:val="32"/>
        </w:rPr>
        <w:t>违反本条例规定的行为，法律、法规已有法律责任规定的，从其规定。</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本条例规定的行政主管部门的行政执法职权经依法划转综合行政执法事项的，由综合行政执法部门行使。</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第三十五条</w:t>
      </w:r>
      <w:r w:rsidRPr="008C6AF0">
        <w:rPr>
          <w:rFonts w:ascii="黑体" w:eastAsia="黑体" w:hAnsi="黑体"/>
          <w:szCs w:val="32"/>
        </w:rPr>
        <w:t xml:space="preserve">  </w:t>
      </w:r>
      <w:r w:rsidRPr="008C6AF0">
        <w:rPr>
          <w:rFonts w:ascii="仿宋_GB2312" w:hAnsi="Calibri" w:hint="eastAsia"/>
          <w:szCs w:val="32"/>
        </w:rPr>
        <w:t>违反本条例第十七条规定，在传统村落核心保护区，改建、重建、修缮和装饰装修建（构）筑物，设置标识、广告等，不符合传统村落保护发展规划要求，并与村落传统风貌不相协调的，由住房和城乡建设主管部门责令停止违法行为，限期恢复原状或者采取其他补救措施；有违法所得的，没收违法所</w:t>
      </w:r>
      <w:r w:rsidRPr="008C6AF0">
        <w:rPr>
          <w:rFonts w:ascii="仿宋_GB2312" w:hAnsi="Calibri" w:hint="eastAsia"/>
          <w:szCs w:val="32"/>
        </w:rPr>
        <w:lastRenderedPageBreak/>
        <w:t>得；造成严重后果的，对单位并处一万元以上十万元以下的罚款，对个人并处五百元以上五千元以下的罚款。</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第三十六条</w:t>
      </w:r>
      <w:r w:rsidR="00913D3B">
        <w:rPr>
          <w:rFonts w:ascii="黑体" w:eastAsia="黑体" w:hAnsi="黑体" w:hint="eastAsia"/>
          <w:szCs w:val="32"/>
        </w:rPr>
        <w:t xml:space="preserve">  </w:t>
      </w:r>
      <w:r w:rsidRPr="008C6AF0">
        <w:rPr>
          <w:rFonts w:ascii="仿宋_GB2312" w:hAnsi="Calibri" w:hint="eastAsia"/>
          <w:szCs w:val="32"/>
        </w:rPr>
        <w:t>违反本条例第二十四条第一项规定，擅自拆除、迁建传统建筑的，由住房和城乡建设主管部门责令停止违法行为，限期恢复原状或者采取其他补救措施；有违法所得的，没收违法所得；造成严重后果的，对单位并处五万元以上二十万元以下的罚款，对个人并处二万元以上十万元以下的罚款。</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违反本条例第二十四条第二项或者第四项规定，破坏传统建筑的整体风貌或者转让传统建筑的构件的，由住房和城乡建设主管部门责令停止违法行为，限期恢复原状或者采取其他补救措施；有违法所得的，没收违法所得；造成严重后果的，对单位并处一万元以上十万元以下的罚款，对个人并处五百元以上五千元以下的罚款。</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违反本条例第二十四条第五项规定，在传统建筑上</w:t>
      </w:r>
      <w:proofErr w:type="gramStart"/>
      <w:r w:rsidRPr="008C6AF0">
        <w:rPr>
          <w:rFonts w:ascii="仿宋_GB2312" w:hAnsi="Calibri" w:hint="eastAsia"/>
          <w:szCs w:val="32"/>
        </w:rPr>
        <w:t>刻划</w:t>
      </w:r>
      <w:proofErr w:type="gramEnd"/>
      <w:r w:rsidRPr="008C6AF0">
        <w:rPr>
          <w:rFonts w:ascii="仿宋_GB2312" w:hAnsi="Calibri" w:hint="eastAsia"/>
          <w:szCs w:val="32"/>
        </w:rPr>
        <w:t>、涂污的，由住房和城乡建设主管部门责令停止违法行为，限期恢复原状或者采取其他补救措施，可以并处五十元以下的罚款。</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第三十七条</w:t>
      </w:r>
      <w:r w:rsidRPr="008C6AF0">
        <w:rPr>
          <w:rFonts w:ascii="仿宋_GB2312" w:hAnsi="Calibri"/>
          <w:szCs w:val="32"/>
        </w:rPr>
        <w:t xml:space="preserve">  </w:t>
      </w:r>
      <w:r w:rsidRPr="008C6AF0">
        <w:rPr>
          <w:rFonts w:ascii="仿宋_GB2312" w:hAnsi="Calibri" w:hint="eastAsia"/>
          <w:szCs w:val="32"/>
        </w:rPr>
        <w:t>市、县（市、区）人民政府、有关部门、乡（镇）人民政府、街道办事处及其工作人员在传统村落保护中，违反本条例规定，有下列行为之一的，对直接负责的主管人员和其他直接责任人员依法给</w:t>
      </w:r>
      <w:proofErr w:type="gramStart"/>
      <w:r w:rsidRPr="008C6AF0">
        <w:rPr>
          <w:rFonts w:ascii="仿宋_GB2312" w:hAnsi="Calibri" w:hint="eastAsia"/>
          <w:szCs w:val="32"/>
        </w:rPr>
        <w:t>予处理</w:t>
      </w:r>
      <w:proofErr w:type="gramEnd"/>
      <w:r w:rsidRPr="008C6AF0">
        <w:rPr>
          <w:rFonts w:ascii="仿宋_GB2312" w:hAnsi="Calibri" w:hint="eastAsia"/>
          <w:szCs w:val="32"/>
        </w:rPr>
        <w:t>：</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（一）未按照法定程序组织编制或者擅自修改传统村落保护发展规划的；</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（二）不依法履行审批职责的；</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lastRenderedPageBreak/>
        <w:t xml:space="preserve">　　（三）发现违法行为不依法查处的；</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（四）不依法履行监督管理职责的；</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（五）其他玩忽职守、徇私舞弊、滥用职权的行为。</w:t>
      </w:r>
    </w:p>
    <w:p w:rsidR="00F71AAE" w:rsidRPr="008C6AF0" w:rsidRDefault="00F71AAE" w:rsidP="00134C63">
      <w:pPr>
        <w:overflowPunct w:val="0"/>
        <w:spacing w:line="560" w:lineRule="exact"/>
        <w:jc w:val="center"/>
        <w:rPr>
          <w:rFonts w:ascii="黑体" w:eastAsia="黑体" w:hAnsi="黑体"/>
          <w:szCs w:val="32"/>
        </w:rPr>
      </w:pPr>
    </w:p>
    <w:p w:rsidR="00F71AAE" w:rsidRPr="008C6AF0" w:rsidRDefault="00F71AAE" w:rsidP="00134C63">
      <w:pPr>
        <w:overflowPunct w:val="0"/>
        <w:spacing w:line="560" w:lineRule="exact"/>
        <w:jc w:val="center"/>
        <w:rPr>
          <w:rFonts w:ascii="黑体" w:eastAsia="黑体" w:hAnsi="黑体"/>
          <w:szCs w:val="32"/>
        </w:rPr>
      </w:pPr>
      <w:r w:rsidRPr="008C6AF0">
        <w:rPr>
          <w:rFonts w:ascii="黑体" w:eastAsia="黑体" w:hAnsi="黑体" w:hint="eastAsia"/>
          <w:szCs w:val="32"/>
        </w:rPr>
        <w:t>第七章</w:t>
      </w:r>
      <w:r w:rsidRPr="008C6AF0">
        <w:rPr>
          <w:rFonts w:ascii="黑体" w:eastAsia="黑体" w:hAnsi="黑体"/>
          <w:szCs w:val="32"/>
        </w:rPr>
        <w:t xml:space="preserve">  </w:t>
      </w:r>
      <w:r w:rsidRPr="008C6AF0">
        <w:rPr>
          <w:rFonts w:ascii="黑体" w:eastAsia="黑体" w:hAnsi="黑体" w:hint="eastAsia"/>
          <w:szCs w:val="32"/>
        </w:rPr>
        <w:t>附</w:t>
      </w:r>
      <w:bookmarkStart w:id="0" w:name="_GoBack"/>
      <w:bookmarkEnd w:id="0"/>
      <w:r w:rsidRPr="008C6AF0">
        <w:rPr>
          <w:rFonts w:ascii="黑体" w:eastAsia="黑体" w:hAnsi="黑体" w:hint="eastAsia"/>
          <w:szCs w:val="32"/>
        </w:rPr>
        <w:t>则</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第三十八条</w:t>
      </w:r>
      <w:r w:rsidRPr="008C6AF0">
        <w:rPr>
          <w:rFonts w:ascii="黑体" w:eastAsia="黑体" w:hAnsi="黑体"/>
          <w:szCs w:val="32"/>
        </w:rPr>
        <w:t xml:space="preserve"> </w:t>
      </w:r>
      <w:r w:rsidRPr="008C6AF0">
        <w:rPr>
          <w:rFonts w:ascii="仿宋_GB2312" w:hAnsi="Calibri"/>
          <w:szCs w:val="32"/>
        </w:rPr>
        <w:t xml:space="preserve"> </w:t>
      </w:r>
      <w:r w:rsidRPr="008C6AF0">
        <w:rPr>
          <w:rFonts w:ascii="仿宋_GB2312" w:hAnsi="Calibri" w:hint="eastAsia"/>
          <w:szCs w:val="32"/>
        </w:rPr>
        <w:t>本条例所称历史环境要素，是指反映村落传统风貌、构成村落特征的要素，包括塔桥亭阁、井泉塘渠、壕沟寨墙、</w:t>
      </w:r>
      <w:proofErr w:type="gramStart"/>
      <w:r w:rsidRPr="008C6AF0">
        <w:rPr>
          <w:rFonts w:ascii="仿宋_GB2312" w:hAnsi="Calibri" w:hint="eastAsia"/>
          <w:szCs w:val="32"/>
        </w:rPr>
        <w:t>堤垣涵洞</w:t>
      </w:r>
      <w:proofErr w:type="gramEnd"/>
      <w:r w:rsidRPr="008C6AF0">
        <w:rPr>
          <w:rFonts w:ascii="仿宋_GB2312" w:hAnsi="Calibri" w:hint="eastAsia"/>
          <w:szCs w:val="32"/>
        </w:rPr>
        <w:t>、古道驿站、码头驳岸、</w:t>
      </w:r>
      <w:proofErr w:type="gramStart"/>
      <w:r w:rsidRPr="008C6AF0">
        <w:rPr>
          <w:rFonts w:ascii="仿宋_GB2312" w:hAnsi="Calibri" w:hint="eastAsia"/>
          <w:szCs w:val="32"/>
        </w:rPr>
        <w:t>碑幢刻石</w:t>
      </w:r>
      <w:proofErr w:type="gramEnd"/>
      <w:r w:rsidRPr="008C6AF0">
        <w:rPr>
          <w:rFonts w:ascii="仿宋_GB2312" w:hAnsi="Calibri" w:hint="eastAsia"/>
          <w:szCs w:val="32"/>
        </w:rPr>
        <w:t>、庭院园林、古树名木、传统产业遗存和历史上建造的用于生产、消防、防盗、防御的特殊设施等。</w:t>
      </w:r>
    </w:p>
    <w:p w:rsidR="00F71AAE" w:rsidRPr="008C6AF0" w:rsidRDefault="00F71AAE" w:rsidP="001D62D6">
      <w:pPr>
        <w:overflowPunct w:val="0"/>
        <w:spacing w:line="560" w:lineRule="exact"/>
        <w:ind w:firstLineChars="200" w:firstLine="632"/>
        <w:rPr>
          <w:rFonts w:ascii="仿宋_GB2312" w:hAnsi="Calibri"/>
          <w:szCs w:val="32"/>
        </w:rPr>
      </w:pPr>
      <w:r w:rsidRPr="008C6AF0">
        <w:rPr>
          <w:rFonts w:ascii="黑体" w:eastAsia="黑体" w:hAnsi="黑体" w:hint="eastAsia"/>
          <w:szCs w:val="32"/>
        </w:rPr>
        <w:t>第三十九条</w:t>
      </w:r>
      <w:r w:rsidRPr="008C6AF0">
        <w:rPr>
          <w:rFonts w:ascii="黑体" w:eastAsia="黑体" w:hAnsi="黑体"/>
          <w:szCs w:val="32"/>
        </w:rPr>
        <w:t xml:space="preserve"> </w:t>
      </w:r>
      <w:r w:rsidRPr="008C6AF0">
        <w:rPr>
          <w:rFonts w:ascii="仿宋_GB2312" w:hAnsi="Calibri"/>
          <w:szCs w:val="32"/>
        </w:rPr>
        <w:t xml:space="preserve"> </w:t>
      </w:r>
      <w:r w:rsidRPr="008C6AF0">
        <w:rPr>
          <w:rFonts w:ascii="仿宋_GB2312" w:hAnsi="Calibri" w:hint="eastAsia"/>
          <w:szCs w:val="32"/>
        </w:rPr>
        <w:t>传统村落被依法认定为历史文化名村的，适用历史文化名</w:t>
      </w:r>
      <w:proofErr w:type="gramStart"/>
      <w:r w:rsidRPr="008C6AF0">
        <w:rPr>
          <w:rFonts w:ascii="仿宋_GB2312" w:hAnsi="Calibri" w:hint="eastAsia"/>
          <w:szCs w:val="32"/>
        </w:rPr>
        <w:t>村相关</w:t>
      </w:r>
      <w:proofErr w:type="gramEnd"/>
      <w:r w:rsidRPr="008C6AF0">
        <w:rPr>
          <w:rFonts w:ascii="仿宋_GB2312" w:hAnsi="Calibri" w:hint="eastAsia"/>
          <w:szCs w:val="32"/>
        </w:rPr>
        <w:t>法律、法规的规定。</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在传统村落保护范围内涉及文物保护、非物质文化遗产保护的，应当遵守文物保护、非物质文化遗产保护相关法律、法规的规定。</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在传统村落以外纳入传统建筑名录的传统建筑的保护和利用，按照本条例传统建筑的有关规定执行。</w:t>
      </w:r>
    </w:p>
    <w:p w:rsidR="00F71AAE" w:rsidRPr="008C6AF0" w:rsidRDefault="00F71AAE" w:rsidP="00134C63">
      <w:pPr>
        <w:overflowPunct w:val="0"/>
        <w:spacing w:line="560" w:lineRule="exact"/>
        <w:rPr>
          <w:rFonts w:ascii="仿宋_GB2312" w:hAnsi="Calibri"/>
          <w:szCs w:val="32"/>
        </w:rPr>
      </w:pPr>
      <w:r w:rsidRPr="008C6AF0">
        <w:rPr>
          <w:rFonts w:ascii="仿宋_GB2312" w:hAnsi="Calibri" w:hint="eastAsia"/>
          <w:szCs w:val="32"/>
        </w:rPr>
        <w:t xml:space="preserve">　　本市行政区域内浙江省历史文化村落保护利用重点村的保护和利用，参照本条例执行。</w:t>
      </w:r>
    </w:p>
    <w:p w:rsidR="00F71AAE" w:rsidRPr="008C6AF0" w:rsidRDefault="00F71AAE" w:rsidP="001D62D6">
      <w:pPr>
        <w:overflowPunct w:val="0"/>
        <w:spacing w:line="560" w:lineRule="exact"/>
        <w:ind w:firstLineChars="265" w:firstLine="837"/>
        <w:jc w:val="left"/>
        <w:rPr>
          <w:rFonts w:ascii="仿宋_GB2312" w:hAnsi="Calibri"/>
          <w:szCs w:val="32"/>
        </w:rPr>
      </w:pPr>
      <w:r w:rsidRPr="008C6AF0">
        <w:rPr>
          <w:rFonts w:ascii="黑体" w:eastAsia="黑体" w:hAnsi="黑体" w:hint="eastAsia"/>
          <w:szCs w:val="32"/>
        </w:rPr>
        <w:t>第四十条</w:t>
      </w:r>
      <w:r w:rsidRPr="008C6AF0">
        <w:rPr>
          <w:rFonts w:ascii="黑体" w:eastAsia="黑体" w:hAnsi="黑体"/>
          <w:szCs w:val="32"/>
        </w:rPr>
        <w:t xml:space="preserve"> </w:t>
      </w:r>
      <w:r w:rsidRPr="008C6AF0">
        <w:rPr>
          <w:rFonts w:ascii="仿宋_GB2312" w:hAnsi="Calibri"/>
          <w:szCs w:val="32"/>
        </w:rPr>
        <w:t xml:space="preserve"> </w:t>
      </w:r>
      <w:r w:rsidRPr="008C6AF0">
        <w:rPr>
          <w:rFonts w:ascii="仿宋_GB2312" w:hAnsi="Calibri" w:hint="eastAsia"/>
          <w:szCs w:val="32"/>
        </w:rPr>
        <w:t>本条例自</w:t>
      </w:r>
      <w:r w:rsidRPr="008C6AF0">
        <w:rPr>
          <w:rFonts w:ascii="仿宋_GB2312" w:hAnsi="Calibri"/>
          <w:szCs w:val="32"/>
        </w:rPr>
        <w:t>2019</w:t>
      </w:r>
      <w:r w:rsidRPr="008C6AF0">
        <w:rPr>
          <w:rFonts w:ascii="仿宋_GB2312" w:hAnsi="Calibri" w:hint="eastAsia"/>
          <w:szCs w:val="32"/>
        </w:rPr>
        <w:t>年</w:t>
      </w:r>
      <w:r w:rsidRPr="008C6AF0">
        <w:rPr>
          <w:rFonts w:ascii="仿宋_GB2312" w:hAnsi="Calibri"/>
          <w:szCs w:val="32"/>
        </w:rPr>
        <w:t>11</w:t>
      </w:r>
      <w:r w:rsidRPr="008C6AF0">
        <w:rPr>
          <w:rFonts w:ascii="仿宋_GB2312" w:hAnsi="Calibri" w:hint="eastAsia"/>
          <w:szCs w:val="32"/>
        </w:rPr>
        <w:t>月</w:t>
      </w:r>
      <w:r w:rsidRPr="008C6AF0">
        <w:rPr>
          <w:rFonts w:ascii="仿宋_GB2312" w:hAnsi="Calibri"/>
          <w:szCs w:val="32"/>
        </w:rPr>
        <w:t>1</w:t>
      </w:r>
      <w:r w:rsidRPr="008C6AF0">
        <w:rPr>
          <w:rFonts w:ascii="仿宋_GB2312" w:hAnsi="Calibri" w:hint="eastAsia"/>
          <w:szCs w:val="32"/>
        </w:rPr>
        <w:t>日起施行。</w:t>
      </w:r>
    </w:p>
    <w:p w:rsidR="00F71AAE" w:rsidRPr="008C6AF0" w:rsidRDefault="00F71AAE" w:rsidP="00134C63">
      <w:pPr>
        <w:overflowPunct w:val="0"/>
      </w:pPr>
    </w:p>
    <w:sectPr w:rsidR="00F71AAE" w:rsidRPr="008C6AF0" w:rsidSect="000D075B">
      <w:footerReference w:type="even" r:id="rId9"/>
      <w:footerReference w:type="default" r:id="rId10"/>
      <w:type w:val="nextColumn"/>
      <w:pgSz w:w="11906" w:h="16838" w:code="9"/>
      <w:pgMar w:top="2013" w:right="1474" w:bottom="1899" w:left="1588" w:header="851" w:footer="1418" w:gutter="0"/>
      <w:pgNumType w:start="1"/>
      <w:cols w:space="425"/>
      <w:docGrid w:type="linesAndChars" w:linePitch="579" w:charSpace="-84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D12" w:rsidRDefault="001D0D12">
      <w:r>
        <w:separator/>
      </w:r>
    </w:p>
  </w:endnote>
  <w:endnote w:type="continuationSeparator" w:id="0">
    <w:p w:rsidR="001D0D12" w:rsidRDefault="001D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panose1 w:val="00000000000000000000"/>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AAE" w:rsidRDefault="00F71AAE">
    <w:pPr>
      <w:pStyle w:val="a4"/>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end"/>
    </w:r>
  </w:p>
  <w:p w:rsidR="00F71AAE" w:rsidRDefault="00F71AAE">
    <w:pPr>
      <w:pStyle w:val="a4"/>
      <w:ind w:right="360" w:firstLine="360"/>
      <w:rPr>
        <w:sz w:val="28"/>
      </w:rPr>
    </w:pPr>
    <w:r>
      <w:rPr>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AAE" w:rsidRDefault="00F71AAE" w:rsidP="00C4588F">
    <w:pPr>
      <w:pStyle w:val="a4"/>
      <w:framePr w:wrap="around" w:vAnchor="text" w:hAnchor="margin" w:xAlign="outside" w:y="1"/>
      <w:rPr>
        <w:rStyle w:val="a5"/>
        <w:sz w:val="28"/>
      </w:rPr>
    </w:pPr>
    <w:r>
      <w:rPr>
        <w:sz w:val="28"/>
      </w:rPr>
      <w:t>—</w:t>
    </w:r>
    <w:r>
      <w:rPr>
        <w:rStyle w:val="a5"/>
        <w:sz w:val="28"/>
      </w:rPr>
      <w:fldChar w:fldCharType="begin"/>
    </w:r>
    <w:r>
      <w:rPr>
        <w:rStyle w:val="a5"/>
        <w:sz w:val="28"/>
      </w:rPr>
      <w:instrText xml:space="preserve">PAGE  </w:instrText>
    </w:r>
    <w:r>
      <w:rPr>
        <w:rStyle w:val="a5"/>
        <w:sz w:val="28"/>
      </w:rPr>
      <w:fldChar w:fldCharType="separate"/>
    </w:r>
    <w:r w:rsidR="00913D3B">
      <w:rPr>
        <w:rStyle w:val="a5"/>
        <w:noProof/>
        <w:sz w:val="28"/>
      </w:rPr>
      <w:t>14</w:t>
    </w:r>
    <w:r>
      <w:rPr>
        <w:rStyle w:val="a5"/>
        <w:sz w:val="28"/>
      </w:rPr>
      <w:fldChar w:fldCharType="end"/>
    </w:r>
    <w:r>
      <w:rPr>
        <w:sz w:val="28"/>
      </w:rPr>
      <w:t>—</w:t>
    </w:r>
  </w:p>
  <w:p w:rsidR="00F71AAE" w:rsidRDefault="00F71AAE">
    <w:pPr>
      <w:pStyle w:val="a4"/>
      <w:ind w:right="360" w:firstLine="360"/>
      <w:jc w:val="center"/>
      <w:rPr>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D12" w:rsidRDefault="001D0D12">
      <w:r>
        <w:separator/>
      </w:r>
    </w:p>
  </w:footnote>
  <w:footnote w:type="continuationSeparator" w:id="0">
    <w:p w:rsidR="001D0D12" w:rsidRDefault="001D0D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43594"/>
    <w:multiLevelType w:val="hybridMultilevel"/>
    <w:tmpl w:val="B27AA542"/>
    <w:lvl w:ilvl="0" w:tplc="0618078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4D1C6D48"/>
    <w:multiLevelType w:val="hybridMultilevel"/>
    <w:tmpl w:val="B7060642"/>
    <w:lvl w:ilvl="0" w:tplc="0618078A">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4FFF4271"/>
    <w:multiLevelType w:val="hybridMultilevel"/>
    <w:tmpl w:val="74488AB4"/>
    <w:lvl w:ilvl="0" w:tplc="3960A294">
      <w:start w:val="1"/>
      <w:numFmt w:val="decimal"/>
      <w:lvlText w:val="%1．"/>
      <w:lvlJc w:val="left"/>
      <w:pPr>
        <w:tabs>
          <w:tab w:val="num" w:pos="375"/>
        </w:tabs>
        <w:ind w:left="375" w:hanging="375"/>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35"/>
    <w:rsid w:val="0002405F"/>
    <w:rsid w:val="00037911"/>
    <w:rsid w:val="00050556"/>
    <w:rsid w:val="00055D99"/>
    <w:rsid w:val="00073EBC"/>
    <w:rsid w:val="0009083E"/>
    <w:rsid w:val="000B7849"/>
    <w:rsid w:val="000B784C"/>
    <w:rsid w:val="000C666D"/>
    <w:rsid w:val="000D075B"/>
    <w:rsid w:val="000D4B8D"/>
    <w:rsid w:val="0010534A"/>
    <w:rsid w:val="00134C63"/>
    <w:rsid w:val="00191F0F"/>
    <w:rsid w:val="0019506C"/>
    <w:rsid w:val="001D0D12"/>
    <w:rsid w:val="001D62D6"/>
    <w:rsid w:val="001D6451"/>
    <w:rsid w:val="002346AF"/>
    <w:rsid w:val="00255398"/>
    <w:rsid w:val="0025587E"/>
    <w:rsid w:val="00277B42"/>
    <w:rsid w:val="002B504D"/>
    <w:rsid w:val="002C7466"/>
    <w:rsid w:val="002C773D"/>
    <w:rsid w:val="002E4AB0"/>
    <w:rsid w:val="002F64CE"/>
    <w:rsid w:val="0031533F"/>
    <w:rsid w:val="003164CE"/>
    <w:rsid w:val="00316F06"/>
    <w:rsid w:val="00335A7A"/>
    <w:rsid w:val="0038160F"/>
    <w:rsid w:val="0038311A"/>
    <w:rsid w:val="003939C2"/>
    <w:rsid w:val="003A70F0"/>
    <w:rsid w:val="003D3052"/>
    <w:rsid w:val="003E6304"/>
    <w:rsid w:val="004025C8"/>
    <w:rsid w:val="0043490E"/>
    <w:rsid w:val="00441EC1"/>
    <w:rsid w:val="004823B9"/>
    <w:rsid w:val="004A38D5"/>
    <w:rsid w:val="004B5266"/>
    <w:rsid w:val="004B557D"/>
    <w:rsid w:val="004B55AB"/>
    <w:rsid w:val="004C0D80"/>
    <w:rsid w:val="004F4EE2"/>
    <w:rsid w:val="00500E43"/>
    <w:rsid w:val="005048EC"/>
    <w:rsid w:val="00524191"/>
    <w:rsid w:val="00540533"/>
    <w:rsid w:val="00567085"/>
    <w:rsid w:val="00570935"/>
    <w:rsid w:val="0057747B"/>
    <w:rsid w:val="005868AA"/>
    <w:rsid w:val="00592F94"/>
    <w:rsid w:val="005B0953"/>
    <w:rsid w:val="005B1477"/>
    <w:rsid w:val="005C2086"/>
    <w:rsid w:val="005C7171"/>
    <w:rsid w:val="00605BDD"/>
    <w:rsid w:val="006148F5"/>
    <w:rsid w:val="006207DB"/>
    <w:rsid w:val="006419A0"/>
    <w:rsid w:val="0064454E"/>
    <w:rsid w:val="006622BB"/>
    <w:rsid w:val="00673DAD"/>
    <w:rsid w:val="006A04D4"/>
    <w:rsid w:val="006A13F4"/>
    <w:rsid w:val="00701B02"/>
    <w:rsid w:val="0074310B"/>
    <w:rsid w:val="007562E9"/>
    <w:rsid w:val="00765203"/>
    <w:rsid w:val="007653F2"/>
    <w:rsid w:val="00775467"/>
    <w:rsid w:val="007A5109"/>
    <w:rsid w:val="007C7117"/>
    <w:rsid w:val="007D2A85"/>
    <w:rsid w:val="007F07D0"/>
    <w:rsid w:val="00802A06"/>
    <w:rsid w:val="00826147"/>
    <w:rsid w:val="00844CE6"/>
    <w:rsid w:val="00851CC3"/>
    <w:rsid w:val="00862663"/>
    <w:rsid w:val="008C6AF0"/>
    <w:rsid w:val="00913D3B"/>
    <w:rsid w:val="0092225B"/>
    <w:rsid w:val="00932066"/>
    <w:rsid w:val="00967C7F"/>
    <w:rsid w:val="00976F77"/>
    <w:rsid w:val="009F2B8B"/>
    <w:rsid w:val="009F4144"/>
    <w:rsid w:val="009F4F56"/>
    <w:rsid w:val="009F5A8B"/>
    <w:rsid w:val="00A00FE1"/>
    <w:rsid w:val="00A12F0F"/>
    <w:rsid w:val="00A21F0F"/>
    <w:rsid w:val="00A23E0E"/>
    <w:rsid w:val="00A24A67"/>
    <w:rsid w:val="00A277A5"/>
    <w:rsid w:val="00A422D5"/>
    <w:rsid w:val="00A607CB"/>
    <w:rsid w:val="00AA0108"/>
    <w:rsid w:val="00AB4996"/>
    <w:rsid w:val="00AC0B37"/>
    <w:rsid w:val="00B045CF"/>
    <w:rsid w:val="00B207E4"/>
    <w:rsid w:val="00B2609E"/>
    <w:rsid w:val="00B30A05"/>
    <w:rsid w:val="00B3554F"/>
    <w:rsid w:val="00B37070"/>
    <w:rsid w:val="00B5538F"/>
    <w:rsid w:val="00B65797"/>
    <w:rsid w:val="00B700E1"/>
    <w:rsid w:val="00BD0030"/>
    <w:rsid w:val="00BF1317"/>
    <w:rsid w:val="00C16193"/>
    <w:rsid w:val="00C202D3"/>
    <w:rsid w:val="00C20FB6"/>
    <w:rsid w:val="00C3547D"/>
    <w:rsid w:val="00C4588F"/>
    <w:rsid w:val="00C8241D"/>
    <w:rsid w:val="00CC4A42"/>
    <w:rsid w:val="00CF13EE"/>
    <w:rsid w:val="00CF31D0"/>
    <w:rsid w:val="00D10AA3"/>
    <w:rsid w:val="00D128A4"/>
    <w:rsid w:val="00D1386B"/>
    <w:rsid w:val="00D17C52"/>
    <w:rsid w:val="00D33372"/>
    <w:rsid w:val="00D47938"/>
    <w:rsid w:val="00D56D54"/>
    <w:rsid w:val="00D7024B"/>
    <w:rsid w:val="00D75EF2"/>
    <w:rsid w:val="00DA67B6"/>
    <w:rsid w:val="00DB2AC8"/>
    <w:rsid w:val="00DD548D"/>
    <w:rsid w:val="00DE02E7"/>
    <w:rsid w:val="00DF021C"/>
    <w:rsid w:val="00DF72CB"/>
    <w:rsid w:val="00E12483"/>
    <w:rsid w:val="00E62D96"/>
    <w:rsid w:val="00E71953"/>
    <w:rsid w:val="00E72664"/>
    <w:rsid w:val="00E8572A"/>
    <w:rsid w:val="00EA6952"/>
    <w:rsid w:val="00F25BAE"/>
    <w:rsid w:val="00F35ECB"/>
    <w:rsid w:val="00F638DE"/>
    <w:rsid w:val="00F6542C"/>
    <w:rsid w:val="00F71AAE"/>
    <w:rsid w:val="00F74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uiPriority="1"/>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BDD"/>
    <w:pPr>
      <w:widowControl w:val="0"/>
      <w:jc w:val="both"/>
    </w:pPr>
    <w:rPr>
      <w:rFonts w:eastAsia="仿宋_GB2312"/>
      <w:sz w:val="32"/>
      <w:szCs w:val="24"/>
    </w:rPr>
  </w:style>
  <w:style w:type="paragraph" w:styleId="1">
    <w:name w:val="heading 1"/>
    <w:basedOn w:val="a"/>
    <w:next w:val="a"/>
    <w:link w:val="1Char"/>
    <w:uiPriority w:val="99"/>
    <w:qFormat/>
    <w:rsid w:val="00C3547D"/>
    <w:pPr>
      <w:spacing w:line="560" w:lineRule="exact"/>
      <w:jc w:val="center"/>
      <w:outlineLvl w:val="0"/>
    </w:pPr>
    <w:rPr>
      <w:rFonts w:ascii="方正小标宋简体" w:eastAsia="方正小标宋简体" w:hAnsi="Calibri"/>
      <w:sz w:val="44"/>
      <w:szCs w:val="44"/>
    </w:rPr>
  </w:style>
  <w:style w:type="paragraph" w:styleId="2">
    <w:name w:val="heading 2"/>
    <w:basedOn w:val="a"/>
    <w:next w:val="a"/>
    <w:link w:val="2Char"/>
    <w:uiPriority w:val="99"/>
    <w:qFormat/>
    <w:rsid w:val="00C3547D"/>
    <w:pPr>
      <w:spacing w:line="560" w:lineRule="exact"/>
      <w:ind w:firstLineChars="265" w:firstLine="848"/>
      <w:jc w:val="left"/>
      <w:outlineLvl w:val="1"/>
    </w:pPr>
    <w:rPr>
      <w:rFonts w:ascii="黑体" w:eastAsia="黑体" w:hAnsi="黑体"/>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C3547D"/>
    <w:rPr>
      <w:rFonts w:ascii="方正小标宋简体" w:eastAsia="方正小标宋简体" w:hAnsi="Calibri" w:cs="Times New Roman"/>
      <w:kern w:val="2"/>
      <w:sz w:val="44"/>
      <w:szCs w:val="44"/>
    </w:rPr>
  </w:style>
  <w:style w:type="character" w:customStyle="1" w:styleId="2Char">
    <w:name w:val="标题 2 Char"/>
    <w:basedOn w:val="a0"/>
    <w:link w:val="2"/>
    <w:uiPriority w:val="99"/>
    <w:locked/>
    <w:rsid w:val="00C3547D"/>
    <w:rPr>
      <w:rFonts w:ascii="黑体" w:eastAsia="黑体" w:hAnsi="黑体" w:cs="Times New Roman"/>
      <w:kern w:val="2"/>
      <w:sz w:val="32"/>
      <w:szCs w:val="32"/>
    </w:rPr>
  </w:style>
  <w:style w:type="paragraph" w:styleId="a3">
    <w:name w:val="header"/>
    <w:basedOn w:val="a"/>
    <w:link w:val="Char"/>
    <w:uiPriority w:val="99"/>
    <w:rsid w:val="00605B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5373"/>
    <w:rPr>
      <w:rFonts w:eastAsia="仿宋_GB2312"/>
      <w:sz w:val="18"/>
      <w:szCs w:val="18"/>
    </w:rPr>
  </w:style>
  <w:style w:type="paragraph" w:styleId="a4">
    <w:name w:val="footer"/>
    <w:basedOn w:val="a"/>
    <w:link w:val="Char0"/>
    <w:uiPriority w:val="99"/>
    <w:rsid w:val="00605B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5373"/>
    <w:rPr>
      <w:rFonts w:eastAsia="仿宋_GB2312"/>
      <w:sz w:val="18"/>
      <w:szCs w:val="18"/>
    </w:rPr>
  </w:style>
  <w:style w:type="character" w:styleId="a5">
    <w:name w:val="page number"/>
    <w:basedOn w:val="a0"/>
    <w:uiPriority w:val="99"/>
    <w:rsid w:val="00605BDD"/>
    <w:rPr>
      <w:rFonts w:cs="Times New Roman"/>
    </w:rPr>
  </w:style>
  <w:style w:type="paragraph" w:styleId="a6">
    <w:name w:val="Date"/>
    <w:basedOn w:val="a"/>
    <w:next w:val="a"/>
    <w:link w:val="Char1"/>
    <w:uiPriority w:val="99"/>
    <w:rsid w:val="00605BDD"/>
    <w:rPr>
      <w:rFonts w:ascii="仿宋_GB2312"/>
    </w:rPr>
  </w:style>
  <w:style w:type="character" w:customStyle="1" w:styleId="Char1">
    <w:name w:val="日期 Char"/>
    <w:basedOn w:val="a0"/>
    <w:link w:val="a6"/>
    <w:uiPriority w:val="99"/>
    <w:semiHidden/>
    <w:rsid w:val="00345373"/>
    <w:rPr>
      <w:rFonts w:eastAsia="仿宋_GB2312"/>
      <w:sz w:val="32"/>
      <w:szCs w:val="24"/>
    </w:rPr>
  </w:style>
  <w:style w:type="paragraph" w:styleId="a7">
    <w:name w:val="Balloon Text"/>
    <w:basedOn w:val="a"/>
    <w:link w:val="Char2"/>
    <w:uiPriority w:val="99"/>
    <w:semiHidden/>
    <w:rsid w:val="00605BDD"/>
    <w:rPr>
      <w:sz w:val="18"/>
      <w:szCs w:val="18"/>
    </w:rPr>
  </w:style>
  <w:style w:type="character" w:customStyle="1" w:styleId="Char2">
    <w:name w:val="批注框文本 Char"/>
    <w:basedOn w:val="a0"/>
    <w:link w:val="a7"/>
    <w:uiPriority w:val="99"/>
    <w:semiHidden/>
    <w:rsid w:val="00345373"/>
    <w:rPr>
      <w:rFonts w:eastAsia="仿宋_GB2312"/>
      <w:sz w:val="0"/>
      <w:szCs w:val="0"/>
    </w:rPr>
  </w:style>
  <w:style w:type="paragraph" w:customStyle="1" w:styleId="CharCharCharCharCharCharChar">
    <w:name w:val="Char Char Char Char Char Char Char"/>
    <w:basedOn w:val="a"/>
    <w:autoRedefine/>
    <w:uiPriority w:val="99"/>
    <w:rsid w:val="00C20FB6"/>
    <w:rPr>
      <w:rFonts w:ascii="Tahoma" w:eastAsia="宋体" w:hAnsi="Tahoma"/>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uiPriority="1"/>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BDD"/>
    <w:pPr>
      <w:widowControl w:val="0"/>
      <w:jc w:val="both"/>
    </w:pPr>
    <w:rPr>
      <w:rFonts w:eastAsia="仿宋_GB2312"/>
      <w:sz w:val="32"/>
      <w:szCs w:val="24"/>
    </w:rPr>
  </w:style>
  <w:style w:type="paragraph" w:styleId="1">
    <w:name w:val="heading 1"/>
    <w:basedOn w:val="a"/>
    <w:next w:val="a"/>
    <w:link w:val="1Char"/>
    <w:uiPriority w:val="99"/>
    <w:qFormat/>
    <w:rsid w:val="00C3547D"/>
    <w:pPr>
      <w:spacing w:line="560" w:lineRule="exact"/>
      <w:jc w:val="center"/>
      <w:outlineLvl w:val="0"/>
    </w:pPr>
    <w:rPr>
      <w:rFonts w:ascii="方正小标宋简体" w:eastAsia="方正小标宋简体" w:hAnsi="Calibri"/>
      <w:sz w:val="44"/>
      <w:szCs w:val="44"/>
    </w:rPr>
  </w:style>
  <w:style w:type="paragraph" w:styleId="2">
    <w:name w:val="heading 2"/>
    <w:basedOn w:val="a"/>
    <w:next w:val="a"/>
    <w:link w:val="2Char"/>
    <w:uiPriority w:val="99"/>
    <w:qFormat/>
    <w:rsid w:val="00C3547D"/>
    <w:pPr>
      <w:spacing w:line="560" w:lineRule="exact"/>
      <w:ind w:firstLineChars="265" w:firstLine="848"/>
      <w:jc w:val="left"/>
      <w:outlineLvl w:val="1"/>
    </w:pPr>
    <w:rPr>
      <w:rFonts w:ascii="黑体" w:eastAsia="黑体" w:hAnsi="黑体"/>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C3547D"/>
    <w:rPr>
      <w:rFonts w:ascii="方正小标宋简体" w:eastAsia="方正小标宋简体" w:hAnsi="Calibri" w:cs="Times New Roman"/>
      <w:kern w:val="2"/>
      <w:sz w:val="44"/>
      <w:szCs w:val="44"/>
    </w:rPr>
  </w:style>
  <w:style w:type="character" w:customStyle="1" w:styleId="2Char">
    <w:name w:val="标题 2 Char"/>
    <w:basedOn w:val="a0"/>
    <w:link w:val="2"/>
    <w:uiPriority w:val="99"/>
    <w:locked/>
    <w:rsid w:val="00C3547D"/>
    <w:rPr>
      <w:rFonts w:ascii="黑体" w:eastAsia="黑体" w:hAnsi="黑体" w:cs="Times New Roman"/>
      <w:kern w:val="2"/>
      <w:sz w:val="32"/>
      <w:szCs w:val="32"/>
    </w:rPr>
  </w:style>
  <w:style w:type="paragraph" w:styleId="a3">
    <w:name w:val="header"/>
    <w:basedOn w:val="a"/>
    <w:link w:val="Char"/>
    <w:uiPriority w:val="99"/>
    <w:rsid w:val="00605B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5373"/>
    <w:rPr>
      <w:rFonts w:eastAsia="仿宋_GB2312"/>
      <w:sz w:val="18"/>
      <w:szCs w:val="18"/>
    </w:rPr>
  </w:style>
  <w:style w:type="paragraph" w:styleId="a4">
    <w:name w:val="footer"/>
    <w:basedOn w:val="a"/>
    <w:link w:val="Char0"/>
    <w:uiPriority w:val="99"/>
    <w:rsid w:val="00605B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5373"/>
    <w:rPr>
      <w:rFonts w:eastAsia="仿宋_GB2312"/>
      <w:sz w:val="18"/>
      <w:szCs w:val="18"/>
    </w:rPr>
  </w:style>
  <w:style w:type="character" w:styleId="a5">
    <w:name w:val="page number"/>
    <w:basedOn w:val="a0"/>
    <w:uiPriority w:val="99"/>
    <w:rsid w:val="00605BDD"/>
    <w:rPr>
      <w:rFonts w:cs="Times New Roman"/>
    </w:rPr>
  </w:style>
  <w:style w:type="paragraph" w:styleId="a6">
    <w:name w:val="Date"/>
    <w:basedOn w:val="a"/>
    <w:next w:val="a"/>
    <w:link w:val="Char1"/>
    <w:uiPriority w:val="99"/>
    <w:rsid w:val="00605BDD"/>
    <w:rPr>
      <w:rFonts w:ascii="仿宋_GB2312"/>
    </w:rPr>
  </w:style>
  <w:style w:type="character" w:customStyle="1" w:styleId="Char1">
    <w:name w:val="日期 Char"/>
    <w:basedOn w:val="a0"/>
    <w:link w:val="a6"/>
    <w:uiPriority w:val="99"/>
    <w:semiHidden/>
    <w:rsid w:val="00345373"/>
    <w:rPr>
      <w:rFonts w:eastAsia="仿宋_GB2312"/>
      <w:sz w:val="32"/>
      <w:szCs w:val="24"/>
    </w:rPr>
  </w:style>
  <w:style w:type="paragraph" w:styleId="a7">
    <w:name w:val="Balloon Text"/>
    <w:basedOn w:val="a"/>
    <w:link w:val="Char2"/>
    <w:uiPriority w:val="99"/>
    <w:semiHidden/>
    <w:rsid w:val="00605BDD"/>
    <w:rPr>
      <w:sz w:val="18"/>
      <w:szCs w:val="18"/>
    </w:rPr>
  </w:style>
  <w:style w:type="character" w:customStyle="1" w:styleId="Char2">
    <w:name w:val="批注框文本 Char"/>
    <w:basedOn w:val="a0"/>
    <w:link w:val="a7"/>
    <w:uiPriority w:val="99"/>
    <w:semiHidden/>
    <w:rsid w:val="00345373"/>
    <w:rPr>
      <w:rFonts w:eastAsia="仿宋_GB2312"/>
      <w:sz w:val="0"/>
      <w:szCs w:val="0"/>
    </w:rPr>
  </w:style>
  <w:style w:type="paragraph" w:customStyle="1" w:styleId="CharCharCharCharCharCharChar">
    <w:name w:val="Char Char Char Char Char Char Char"/>
    <w:basedOn w:val="a"/>
    <w:autoRedefine/>
    <w:uiPriority w:val="99"/>
    <w:rsid w:val="00C20FB6"/>
    <w:rPr>
      <w:rFonts w:ascii="Tahoma" w:eastAsia="宋体" w:hAnsi="Tahom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14</Pages>
  <Words>1028</Words>
  <Characters>5864</Characters>
  <Application>Microsoft Office Word</Application>
  <DocSecurity>0</DocSecurity>
  <Lines>48</Lines>
  <Paragraphs>13</Paragraphs>
  <ScaleCrop>false</ScaleCrop>
  <Company>RJSOFT</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正文文件</dc:title>
  <dc:creator>RJeGov</dc:creator>
  <cp:lastModifiedBy>lenovo727</cp:lastModifiedBy>
  <cp:revision>1</cp:revision>
  <cp:lastPrinted>2007-09-11T09:03:00Z</cp:lastPrinted>
  <dcterms:created xsi:type="dcterms:W3CDTF">2019-08-27T07:24:00Z</dcterms:created>
  <dcterms:modified xsi:type="dcterms:W3CDTF">2019-09-09T01:51:00Z</dcterms:modified>
</cp:coreProperties>
</file>