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widowControl w:val="0"/>
        <w:wordWrap/>
        <w:overflowPunct w:val="0"/>
        <w:adjustRightInd w:val="0"/>
        <w:snapToGrid/>
        <w:spacing w:line="590" w:lineRule="exact"/>
        <w:ind w:left="0" w:leftChars="0" w:right="0" w:firstLine="0" w:firstLineChars="0"/>
        <w:jc w:val="center"/>
        <w:textAlignment w:val="auto"/>
        <w:outlineLvl w:val="9"/>
        <w:rPr>
          <w:rFonts w:hint="eastAsia" w:ascii="宋体" w:hAnsi="宋体" w:cs="宋体"/>
          <w:b/>
          <w:bCs/>
          <w:color w:val="000000"/>
          <w:kern w:val="36"/>
          <w:sz w:val="44"/>
          <w:szCs w:val="44"/>
        </w:rPr>
      </w:pPr>
      <w:bookmarkStart w:id="0" w:name="_GoBack"/>
      <w:bookmarkEnd w:id="0"/>
    </w:p>
    <w:p>
      <w:pPr>
        <w:widowControl w:val="0"/>
        <w:wordWrap/>
        <w:overflowPunct w:val="0"/>
        <w:adjustRightInd w:val="0"/>
        <w:snapToGrid/>
        <w:spacing w:line="590" w:lineRule="exact"/>
        <w:ind w:left="0" w:leftChars="0" w:right="0" w:firstLine="0" w:firstLineChars="0"/>
        <w:jc w:val="center"/>
        <w:textAlignment w:val="auto"/>
        <w:outlineLvl w:val="9"/>
        <w:rPr>
          <w:rFonts w:hint="eastAsia" w:ascii="宋体" w:hAnsi="宋体" w:cs="宋体"/>
          <w:b/>
          <w:bCs/>
          <w:color w:val="000000"/>
          <w:kern w:val="36"/>
          <w:sz w:val="44"/>
          <w:szCs w:val="44"/>
        </w:rPr>
      </w:pPr>
    </w:p>
    <w:p>
      <w:pPr>
        <w:widowControl w:val="0"/>
        <w:wordWrap/>
        <w:overflowPunct w:val="0"/>
        <w:adjustRightInd w:val="0"/>
        <w:snapToGrid/>
        <w:spacing w:line="590" w:lineRule="exact"/>
        <w:ind w:left="0" w:leftChars="0" w:right="0" w:firstLine="0" w:firstLineChars="0"/>
        <w:jc w:val="center"/>
        <w:textAlignment w:val="auto"/>
        <w:outlineLvl w:val="9"/>
        <w:rPr>
          <w:rFonts w:hint="eastAsia" w:ascii="宋体" w:hAnsi="宋体" w:eastAsia="宋体" w:cs="宋体"/>
          <w:color w:val="000000"/>
          <w:kern w:val="36"/>
          <w:sz w:val="44"/>
          <w:szCs w:val="44"/>
        </w:rPr>
      </w:pPr>
      <w:r>
        <w:rPr>
          <w:rFonts w:hint="eastAsia" w:ascii="宋体" w:hAnsi="宋体" w:eastAsia="宋体" w:cs="宋体"/>
          <w:color w:val="000000"/>
          <w:kern w:val="36"/>
          <w:sz w:val="44"/>
          <w:szCs w:val="44"/>
        </w:rPr>
        <w:t>乳源瑶族自治县水污染防治条例</w:t>
      </w:r>
    </w:p>
    <w:p>
      <w:pPr>
        <w:widowControl w:val="0"/>
        <w:wordWrap/>
        <w:overflowPunct w:val="0"/>
        <w:spacing w:line="590" w:lineRule="exact"/>
        <w:ind w:left="0" w:leftChars="0" w:right="0"/>
        <w:textAlignment w:val="auto"/>
        <w:rPr>
          <w:rFonts w:ascii="宋体" w:hAnsi="宋体" w:eastAsia="仿宋_GB2312" w:cs="宋体"/>
          <w:color w:val="000000"/>
          <w:sz w:val="32"/>
          <w:szCs w:val="32"/>
        </w:rPr>
      </w:pPr>
    </w:p>
    <w:p>
      <w:pPr>
        <w:widowControl w:val="0"/>
        <w:wordWrap/>
        <w:overflowPunct w:val="0"/>
        <w:adjustRightInd w:val="0"/>
        <w:snapToGrid w:val="0"/>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w:t>
      </w:r>
      <w:r>
        <w:rPr>
          <w:rFonts w:hint="default" w:ascii="宋体" w:hAnsi="宋体" w:eastAsia="楷体_GB2312" w:cs="Times New Roman"/>
          <w:color w:val="000000"/>
          <w:sz w:val="32"/>
          <w:szCs w:val="32"/>
        </w:rPr>
        <w:t>2001</w:t>
      </w:r>
      <w:r>
        <w:rPr>
          <w:rFonts w:hint="eastAsia" w:ascii="宋体" w:hAnsi="宋体" w:eastAsia="楷体_GB2312" w:cs="楷体_GB2312"/>
          <w:color w:val="000000"/>
          <w:sz w:val="32"/>
          <w:szCs w:val="32"/>
        </w:rPr>
        <w:t>年</w:t>
      </w:r>
      <w:r>
        <w:rPr>
          <w:rFonts w:hint="default" w:ascii="宋体" w:hAnsi="宋体" w:eastAsia="楷体_GB2312" w:cs="Times New Roman"/>
          <w:color w:val="000000"/>
          <w:sz w:val="32"/>
          <w:szCs w:val="32"/>
        </w:rPr>
        <w:t>2</w:t>
      </w:r>
      <w:r>
        <w:rPr>
          <w:rFonts w:hint="eastAsia" w:ascii="宋体" w:hAnsi="宋体" w:eastAsia="楷体_GB2312" w:cs="楷体_GB2312"/>
          <w:color w:val="000000"/>
          <w:sz w:val="32"/>
          <w:szCs w:val="32"/>
        </w:rPr>
        <w:t>月</w:t>
      </w:r>
      <w:r>
        <w:rPr>
          <w:rFonts w:hint="default" w:ascii="宋体" w:hAnsi="宋体" w:eastAsia="楷体_GB2312" w:cs="Times New Roman"/>
          <w:color w:val="000000"/>
          <w:sz w:val="32"/>
          <w:szCs w:val="32"/>
        </w:rPr>
        <w:t>23</w:t>
      </w:r>
      <w:r>
        <w:rPr>
          <w:rFonts w:hint="eastAsia" w:ascii="宋体" w:hAnsi="宋体" w:eastAsia="楷体_GB2312" w:cs="楷体_GB2312"/>
          <w:color w:val="000000"/>
          <w:sz w:val="32"/>
          <w:szCs w:val="32"/>
        </w:rPr>
        <w:t>日乳源瑶族自治县第八届人民代表大会第四次会议通过</w:t>
      </w:r>
      <w:r>
        <w:rPr>
          <w:rFonts w:hint="eastAsia" w:ascii="宋体" w:hAnsi="宋体" w:eastAsia="楷体_GB2312" w:cs="楷体_GB2312"/>
          <w:color w:val="000000"/>
          <w:sz w:val="32"/>
          <w:szCs w:val="32"/>
          <w:lang w:val="en-US" w:eastAsia="zh-CN"/>
        </w:rPr>
        <w:t xml:space="preserve">  </w:t>
      </w:r>
      <w:r>
        <w:rPr>
          <w:rFonts w:hint="default" w:ascii="宋体" w:hAnsi="宋体" w:eastAsia="楷体_GB2312" w:cs="Times New Roman"/>
          <w:color w:val="000000"/>
          <w:sz w:val="32"/>
          <w:szCs w:val="32"/>
        </w:rPr>
        <w:t>2001</w:t>
      </w:r>
      <w:r>
        <w:rPr>
          <w:rFonts w:hint="eastAsia" w:ascii="宋体" w:hAnsi="宋体" w:eastAsia="楷体_GB2312" w:cs="楷体_GB2312"/>
          <w:color w:val="000000"/>
          <w:sz w:val="32"/>
          <w:szCs w:val="32"/>
        </w:rPr>
        <w:t>年</w:t>
      </w:r>
      <w:r>
        <w:rPr>
          <w:rFonts w:hint="default" w:ascii="宋体" w:hAnsi="宋体" w:eastAsia="楷体_GB2312" w:cs="Times New Roman"/>
          <w:color w:val="000000"/>
          <w:sz w:val="32"/>
          <w:szCs w:val="32"/>
        </w:rPr>
        <w:t>12</w:t>
      </w:r>
      <w:r>
        <w:rPr>
          <w:rFonts w:hint="eastAsia" w:ascii="宋体" w:hAnsi="宋体" w:eastAsia="楷体_GB2312" w:cs="楷体_GB2312"/>
          <w:color w:val="000000"/>
          <w:sz w:val="32"/>
          <w:szCs w:val="32"/>
        </w:rPr>
        <w:t>月</w:t>
      </w:r>
      <w:r>
        <w:rPr>
          <w:rFonts w:hint="default" w:ascii="宋体" w:hAnsi="宋体" w:eastAsia="楷体_GB2312" w:cs="Times New Roman"/>
          <w:color w:val="000000"/>
          <w:sz w:val="32"/>
          <w:szCs w:val="32"/>
        </w:rPr>
        <w:t>3</w:t>
      </w:r>
      <w:r>
        <w:rPr>
          <w:rFonts w:hint="eastAsia" w:ascii="宋体" w:hAnsi="宋体" w:eastAsia="楷体_GB2312" w:cs="楷体_GB2312"/>
          <w:color w:val="000000"/>
          <w:sz w:val="32"/>
          <w:szCs w:val="32"/>
        </w:rPr>
        <w:t>日广东省人民代表大会常务委员会第二十九次会议批准</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w:t>
      </w:r>
      <w:r>
        <w:rPr>
          <w:rFonts w:hint="eastAsia" w:ascii="宋体" w:hAnsi="宋体" w:eastAsia="楷体_GB2312" w:cs="楷体_GB2312"/>
          <w:color w:val="000000"/>
          <w:sz w:val="32"/>
          <w:szCs w:val="32"/>
        </w:rPr>
        <w:t>2019年1月25日乳源瑶族自治县第十二届人民代表大会第四次会议通过</w:t>
      </w:r>
      <w:r>
        <w:rPr>
          <w:rFonts w:hint="eastAsia" w:ascii="宋体" w:hAnsi="宋体" w:eastAsia="楷体_GB2312"/>
          <w:color w:val="000000"/>
          <w:lang w:eastAsia="zh-CN"/>
        </w:rPr>
        <w:t>并经</w:t>
      </w:r>
      <w:r>
        <w:rPr>
          <w:rFonts w:hint="default" w:ascii="宋体" w:hAnsi="宋体" w:eastAsia="楷体_GB2312" w:cs="Times New Roman"/>
          <w:color w:val="000000"/>
          <w:kern w:val="2"/>
          <w:sz w:val="32"/>
          <w:szCs w:val="32"/>
          <w:lang w:val="en-US" w:eastAsia="zh-CN" w:bidi="ar-SA"/>
        </w:rPr>
        <w:t>2019</w:t>
      </w:r>
      <w:r>
        <w:rPr>
          <w:rFonts w:hint="eastAsia" w:ascii="宋体" w:hAnsi="宋体" w:eastAsia="楷体_GB2312" w:cs="楷体_GB2312"/>
          <w:color w:val="000000"/>
          <w:kern w:val="2"/>
          <w:sz w:val="32"/>
          <w:szCs w:val="32"/>
          <w:lang w:val="en-US" w:eastAsia="zh-CN" w:bidi="ar-SA"/>
        </w:rPr>
        <w:t>年</w:t>
      </w:r>
      <w:r>
        <w:rPr>
          <w:rFonts w:hint="default" w:ascii="宋体" w:hAnsi="宋体" w:eastAsia="楷体_GB2312" w:cs="Times New Roman"/>
          <w:color w:val="000000"/>
          <w:kern w:val="2"/>
          <w:sz w:val="32"/>
          <w:szCs w:val="32"/>
          <w:lang w:val="en-US" w:eastAsia="zh-CN" w:bidi="ar-SA"/>
        </w:rPr>
        <w:t>3</w:t>
      </w:r>
      <w:r>
        <w:rPr>
          <w:rFonts w:hint="eastAsia" w:ascii="宋体" w:hAnsi="宋体" w:eastAsia="楷体_GB2312" w:cs="楷体_GB2312"/>
          <w:color w:val="000000"/>
          <w:kern w:val="2"/>
          <w:sz w:val="32"/>
          <w:szCs w:val="32"/>
          <w:lang w:val="en-US" w:eastAsia="zh-CN" w:bidi="ar-SA"/>
        </w:rPr>
        <w:t>月</w:t>
      </w:r>
      <w:r>
        <w:rPr>
          <w:rFonts w:hint="default" w:ascii="宋体" w:hAnsi="宋体" w:eastAsia="楷体_GB2312" w:cs="Times New Roman"/>
          <w:color w:val="000000"/>
          <w:kern w:val="2"/>
          <w:sz w:val="32"/>
          <w:szCs w:val="32"/>
          <w:lang w:val="en-US" w:eastAsia="zh-CN" w:bidi="ar-SA"/>
        </w:rPr>
        <w:t>28</w:t>
      </w:r>
      <w:r>
        <w:rPr>
          <w:rFonts w:hint="eastAsia" w:ascii="宋体" w:hAnsi="宋体" w:eastAsia="楷体_GB2312" w:cs="楷体_GB2312"/>
          <w:color w:val="000000"/>
          <w:kern w:val="2"/>
          <w:sz w:val="32"/>
          <w:szCs w:val="32"/>
          <w:lang w:val="en-US" w:eastAsia="zh-CN" w:bidi="ar-SA"/>
        </w:rPr>
        <w:t>日广东省第十三届人民代表大会常务委员会第十一次会议批准的</w:t>
      </w:r>
      <w:r>
        <w:rPr>
          <w:rFonts w:hint="eastAsia" w:ascii="宋体" w:hAnsi="宋体" w:eastAsia="楷体_GB2312" w:cs="楷体_GB2312"/>
          <w:color w:val="000000"/>
          <w:sz w:val="32"/>
          <w:szCs w:val="32"/>
        </w:rPr>
        <w:t>《乳源瑶族自治县人民代表大会关于修改〈乳源瑶族自治县水污染防治条例〉等</w:t>
      </w:r>
      <w:r>
        <w:rPr>
          <w:rFonts w:hint="eastAsia" w:ascii="宋体" w:hAnsi="宋体" w:eastAsia="楷体_GB2312" w:cs="楷体_GB2312"/>
          <w:color w:val="000000"/>
          <w:sz w:val="32"/>
          <w:szCs w:val="32"/>
          <w:lang w:eastAsia="zh-CN"/>
        </w:rPr>
        <w:t>两</w:t>
      </w:r>
      <w:r>
        <w:rPr>
          <w:rFonts w:hint="eastAsia" w:ascii="宋体" w:hAnsi="宋体" w:eastAsia="楷体_GB2312" w:cs="楷体_GB2312"/>
          <w:color w:val="000000"/>
          <w:sz w:val="32"/>
          <w:szCs w:val="32"/>
        </w:rPr>
        <w:t>部单行条例的决定》</w:t>
      </w:r>
      <w:r>
        <w:rPr>
          <w:rFonts w:hint="eastAsia" w:ascii="宋体" w:hAnsi="宋体" w:eastAsia="楷体_GB2312" w:cs="楷体_GB2312"/>
          <w:color w:val="000000"/>
          <w:sz w:val="32"/>
          <w:szCs w:val="32"/>
          <w:lang w:eastAsia="zh-CN"/>
        </w:rPr>
        <w:t>修正</w:t>
      </w:r>
      <w:r>
        <w:rPr>
          <w:rFonts w:hint="eastAsia" w:ascii="宋体" w:hAnsi="宋体" w:eastAsia="楷体_GB2312" w:cs="楷体_GB2312"/>
          <w:color w:val="000000"/>
          <w:sz w:val="32"/>
          <w:szCs w:val="32"/>
        </w:rPr>
        <w:t>）</w:t>
      </w:r>
    </w:p>
    <w:p>
      <w:pPr>
        <w:widowControl w:val="0"/>
        <w:wordWrap/>
        <w:overflowPunct w:val="0"/>
        <w:spacing w:line="590" w:lineRule="exact"/>
        <w:ind w:left="0" w:leftChars="0" w:right="0"/>
        <w:textAlignment w:val="auto"/>
        <w:rPr>
          <w:rFonts w:ascii="宋体" w:hAnsi="宋体" w:eastAsia="仿宋_GB2312" w:cs="宋体"/>
          <w:color w:val="000000"/>
          <w:sz w:val="32"/>
          <w:szCs w:val="32"/>
        </w:rPr>
      </w:pPr>
    </w:p>
    <w:p>
      <w:pPr>
        <w:widowControl w:val="0"/>
        <w:wordWrap/>
        <w:overflowPunct w:val="0"/>
        <w:spacing w:line="590" w:lineRule="exact"/>
        <w:ind w:left="0" w:leftChars="0" w:right="0"/>
        <w:textAlignment w:val="auto"/>
        <w:rPr>
          <w:rFonts w:hint="eastAsia" w:ascii="宋体" w:hAnsi="宋体" w:eastAsia="仿宋_GB2312" w:cs="宋体"/>
          <w:color w:val="000000"/>
          <w:sz w:val="32"/>
          <w:szCs w:val="32"/>
        </w:rPr>
      </w:pPr>
      <w:r>
        <w:rPr>
          <w:rFonts w:hint="eastAsia" w:ascii="宋体" w:hAnsi="宋体" w:eastAsia="仿宋_GB2312" w:cs="宋体"/>
          <w:color w:val="000000"/>
          <w:sz w:val="32"/>
          <w:szCs w:val="32"/>
        </w:rPr>
        <w:t xml:space="preserve">    </w:t>
      </w:r>
      <w:r>
        <w:rPr>
          <w:rFonts w:hint="eastAsia" w:ascii="宋体" w:hAnsi="宋体" w:eastAsia="黑体" w:cs="黑体"/>
          <w:color w:val="000000"/>
          <w:sz w:val="32"/>
          <w:szCs w:val="32"/>
        </w:rPr>
        <w:t>第一条</w:t>
      </w:r>
      <w:r>
        <w:rPr>
          <w:rFonts w:hint="eastAsia" w:ascii="宋体" w:hAnsi="宋体" w:eastAsia="仿宋_GB2312" w:cs="宋体"/>
          <w:color w:val="000000"/>
          <w:sz w:val="32"/>
          <w:szCs w:val="32"/>
        </w:rPr>
        <w:t xml:space="preserve">  为防治水质污染，维护水质的良好状态，保证水资源的有效利用，根据国家有关法律、法规，结合自治县实际，制定本条例。</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宋体"/>
          <w:color w:val="000000"/>
          <w:sz w:val="32"/>
          <w:szCs w:val="32"/>
        </w:rPr>
        <w:t xml:space="preserve">  本条例适用于自治县行政区域内的河流、渠道、水库等地表水体以及地下水体的污染防治。</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宋体"/>
          <w:color w:val="000000"/>
          <w:sz w:val="32"/>
          <w:szCs w:val="32"/>
        </w:rPr>
        <w:t xml:space="preserve">  自治县人民政府每年安排专项经费用于水质保护。</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宋体"/>
          <w:color w:val="000000"/>
          <w:sz w:val="32"/>
          <w:szCs w:val="32"/>
        </w:rPr>
        <w:t xml:space="preserve">  在河流、水库沿岸的企业和村庄，应当建立和完善污水排放和处理系统。</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宋体"/>
          <w:color w:val="000000"/>
          <w:sz w:val="32"/>
          <w:szCs w:val="32"/>
        </w:rPr>
        <w:t xml:space="preserve">  新建、扩建、改建的建设项目排放的水污染物，不得超过生态环境主管部门下达的排污总量控制指标。</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宋体"/>
          <w:color w:val="000000"/>
          <w:sz w:val="32"/>
          <w:szCs w:val="32"/>
        </w:rPr>
        <w:t xml:space="preserve">  自治县建设行政主管部门组织建设城市污水集中处理设施，建成后由自治县建设行政主管部门组建机构进行有偿服务管理，并且接受自治县生态环境主管部门的监督。</w:t>
      </w:r>
    </w:p>
    <w:p>
      <w:pPr>
        <w:widowControl w:val="0"/>
        <w:wordWrap/>
        <w:overflowPunct w:val="0"/>
        <w:spacing w:line="590" w:lineRule="exact"/>
        <w:ind w:left="0" w:leftChars="0" w:right="0" w:firstLine="632" w:firstLineChars="20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s="宋体"/>
          <w:color w:val="000000"/>
          <w:sz w:val="32"/>
          <w:szCs w:val="32"/>
        </w:rPr>
        <w:t xml:space="preserve">  自治县人民政府制定的重点污染物总量控制实施方案确定的削减污染物排放量的单位，应当按照自治县生态环境主管部门和水行政主管部门的意见设置排污口，并且安装污染物控制监测设备。</w:t>
      </w:r>
    </w:p>
    <w:p>
      <w:pPr>
        <w:widowControl w:val="0"/>
        <w:wordWrap/>
        <w:overflowPunct w:val="0"/>
        <w:spacing w:line="590" w:lineRule="exact"/>
        <w:ind w:left="0" w:leftChars="0" w:right="0" w:firstLine="632" w:firstLineChars="200"/>
        <w:textAlignment w:val="auto"/>
        <w:rPr>
          <w:rFonts w:hint="eastAsia" w:ascii="宋体" w:hAnsi="宋体" w:eastAsia="黑体" w:cs="黑体"/>
          <w:color w:val="000000"/>
          <w:sz w:val="32"/>
          <w:szCs w:val="32"/>
        </w:rPr>
      </w:pPr>
      <w:r>
        <w:rPr>
          <w:rFonts w:hint="eastAsia" w:ascii="宋体" w:hAnsi="宋体" w:eastAsia="黑体" w:cs="黑体"/>
          <w:color w:val="000000"/>
          <w:sz w:val="32"/>
          <w:szCs w:val="32"/>
        </w:rPr>
        <w:t>第八条</w:t>
      </w:r>
      <w:r>
        <w:rPr>
          <w:rFonts w:hint="eastAsia" w:ascii="宋体" w:hAnsi="宋体" w:eastAsia="仿宋_GB2312" w:cs="宋体"/>
          <w:color w:val="000000"/>
          <w:sz w:val="32"/>
          <w:szCs w:val="32"/>
        </w:rPr>
        <w:t xml:space="preserve">  企业事业单位发生事故或者其他突发性事件，造成或者可能造成水污染事故的，应当立即启动本单位的应急方案，采取阻断、隔离、收集等应急措施，防止水污染物进入水体，并向自治县人民政府或者生态环境主管部门报告。生态环境主管部门接到报告后，应当及时向自治县人民政府和上级主管部门报告，并抄送有关部门</w:t>
      </w:r>
      <w:r>
        <w:rPr>
          <w:rFonts w:hint="eastAsia" w:ascii="宋体" w:hAnsi="宋体" w:eastAsia="黑体" w:cs="黑体"/>
          <w:color w:val="000000"/>
          <w:sz w:val="32"/>
          <w:szCs w:val="32"/>
        </w:rPr>
        <w:t>。</w:t>
      </w:r>
    </w:p>
    <w:p>
      <w:pPr>
        <w:widowControl w:val="0"/>
        <w:wordWrap/>
        <w:overflowPunct w:val="0"/>
        <w:spacing w:line="590" w:lineRule="exact"/>
        <w:ind w:left="0" w:leftChars="0" w:right="0" w:firstLine="570"/>
        <w:textAlignment w:val="auto"/>
        <w:rPr>
          <w:rFonts w:hint="eastAsia" w:ascii="宋体" w:hAnsi="宋体" w:eastAsia="仿宋_GB2312" w:cs="黑体"/>
          <w:color w:val="000000"/>
          <w:sz w:val="32"/>
          <w:szCs w:val="32"/>
        </w:rPr>
      </w:pPr>
      <w:r>
        <w:rPr>
          <w:rFonts w:hint="eastAsia" w:ascii="宋体" w:hAnsi="宋体" w:eastAsia="黑体" w:cs="黑体"/>
          <w:color w:val="000000"/>
          <w:sz w:val="32"/>
          <w:szCs w:val="32"/>
        </w:rPr>
        <w:t>第九条</w:t>
      </w:r>
      <w:r>
        <w:rPr>
          <w:rFonts w:hint="eastAsia" w:ascii="宋体" w:hAnsi="宋体" w:eastAsia="仿宋_GB2312" w:cs="宋体"/>
          <w:color w:val="000000"/>
          <w:sz w:val="32"/>
          <w:szCs w:val="32"/>
        </w:rPr>
        <w:t xml:space="preserve">  自治县生态环境主管部门应当定期对饮用水源进行监测，随时掌握水环境质量状况。</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宋体"/>
          <w:color w:val="000000"/>
          <w:sz w:val="32"/>
          <w:szCs w:val="32"/>
        </w:rPr>
        <w:t xml:space="preserve">  南水水库为饮用水源保护区，水质执行国家地面水环境质量Ⅱ类标准</w:t>
      </w:r>
      <w:r>
        <w:rPr>
          <w:rFonts w:hint="eastAsia" w:ascii="宋体" w:hAnsi="宋体" w:eastAsia="黑体" w:cs="黑体"/>
          <w:color w:val="000000"/>
          <w:sz w:val="32"/>
          <w:szCs w:val="32"/>
        </w:rPr>
        <w:t>。</w:t>
      </w:r>
    </w:p>
    <w:p>
      <w:pPr>
        <w:widowControl w:val="0"/>
        <w:wordWrap/>
        <w:overflowPunct w:val="0"/>
        <w:spacing w:line="590" w:lineRule="exact"/>
        <w:ind w:left="0" w:leftChars="0" w:right="0" w:firstLine="570"/>
        <w:textAlignment w:val="auto"/>
        <w:rPr>
          <w:rFonts w:hint="eastAsia" w:ascii="宋体" w:hAnsi="宋体" w:eastAsia="仿宋_GB2312" w:cs="宋体"/>
          <w:color w:val="000000"/>
          <w:sz w:val="32"/>
          <w:szCs w:val="32"/>
        </w:rPr>
      </w:pPr>
      <w:r>
        <w:rPr>
          <w:rFonts w:hint="eastAsia" w:ascii="宋体" w:hAnsi="宋体" w:eastAsia="仿宋_GB2312" w:cs="宋体"/>
          <w:color w:val="000000"/>
          <w:sz w:val="32"/>
          <w:szCs w:val="32"/>
        </w:rPr>
        <w:t>横溪水库为农村饮用水源地，水质执行国家地面水环境质量Ⅱ类标准。</w:t>
      </w:r>
    </w:p>
    <w:p>
      <w:pPr>
        <w:widowControl w:val="0"/>
        <w:wordWrap/>
        <w:overflowPunct w:val="0"/>
        <w:spacing w:line="590" w:lineRule="exact"/>
        <w:ind w:left="0" w:leftChars="0" w:right="0" w:firstLine="632" w:firstLineChars="200"/>
        <w:textAlignment w:val="auto"/>
        <w:rPr>
          <w:rFonts w:hint="eastAsia" w:ascii="宋体" w:hAnsi="宋体" w:eastAsia="仿宋_GB2312" w:cs="宋体"/>
          <w:color w:val="000000"/>
          <w:sz w:val="32"/>
          <w:szCs w:val="32"/>
        </w:rPr>
      </w:pPr>
      <w:r>
        <w:rPr>
          <w:rFonts w:hint="eastAsia" w:ascii="宋体" w:hAnsi="宋体" w:eastAsia="仿宋_GB2312" w:cs="仿宋_GB2312"/>
          <w:color w:val="000000"/>
          <w:sz w:val="32"/>
          <w:szCs w:val="32"/>
        </w:rPr>
        <w:t>南水河、武</w:t>
      </w:r>
      <w:r>
        <w:rPr>
          <w:rFonts w:hint="eastAsia" w:ascii="宋体" w:hAnsi="宋体" w:eastAsia="仿宋_GB2312" w:cs="宋体"/>
          <w:color w:val="000000"/>
          <w:sz w:val="32"/>
          <w:szCs w:val="32"/>
        </w:rPr>
        <w:t>江河、杨溪河、游溪河、大潭河、大布河、五官庙河、水源宫河等水系为农村生产生活用水，水质执行国家地面水环境质量Ⅲ类标准。</w:t>
      </w:r>
    </w:p>
    <w:p>
      <w:pPr>
        <w:widowControl w:val="0"/>
        <w:wordWrap/>
        <w:overflowPunct w:val="0"/>
        <w:spacing w:line="590" w:lineRule="exact"/>
        <w:ind w:left="0" w:leftChars="0" w:right="0" w:firstLine="632" w:firstLineChars="20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第十一条</w:t>
      </w:r>
      <w:r>
        <w:rPr>
          <w:rFonts w:hint="eastAsia" w:ascii="宋体" w:hAnsi="宋体" w:eastAsia="仿宋_GB2312" w:cs="宋体"/>
          <w:color w:val="000000"/>
          <w:sz w:val="32"/>
          <w:szCs w:val="32"/>
        </w:rPr>
        <w:t xml:space="preserve">  在南水水库饮用水源保护区内，除执行法律、法规就饮用水源保护区所作的禁止性规定以外，还应当执行以下规定：</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（一）禁止在水体中清洗装贮过油类或者有毒污染物的容器；</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（二）运输除剧毒物品以外其它可能造成污染危害的物品的车辆，应当按规定办理有关手续，并且配备防溢、防渗、防漏、防散落设备，方可通行。</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lang w:val="en-US" w:eastAsia="zh-CN"/>
        </w:rPr>
        <w:t xml:space="preserve">    </w:t>
      </w:r>
      <w:r>
        <w:rPr>
          <w:rFonts w:hint="eastAsia" w:ascii="宋体" w:hAnsi="宋体" w:eastAsia="黑体" w:cs="黑体"/>
          <w:color w:val="000000"/>
          <w:sz w:val="32"/>
          <w:szCs w:val="32"/>
        </w:rPr>
        <w:t>第十二条</w:t>
      </w:r>
      <w:r>
        <w:rPr>
          <w:rFonts w:hint="eastAsia" w:ascii="宋体" w:hAnsi="宋体" w:eastAsia="仿宋_GB2312" w:cs="宋体"/>
          <w:color w:val="000000"/>
          <w:sz w:val="32"/>
          <w:szCs w:val="32"/>
        </w:rPr>
        <w:t xml:space="preserve">  在横溪水库库区水域及库岸正常岸线向陆纵深一百米区域内，除执行法律、法规就农村饮用水源地所规定的禁止性行为以外，还应当禁止下列行为：</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（一）新建、扩建工业项目；</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（二）设置游泳场、饮食店、畜禽养殖场以及从事水面种植等活动；</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（三）冲洗码头、船舶以及沿岸建筑物时，将垃圾、渣土、沙石等排入、倾倒到水域。</w:t>
      </w:r>
    </w:p>
    <w:p>
      <w:pPr>
        <w:widowControl w:val="0"/>
        <w:shd w:val="clear" w:color="auto" w:fill="FFFFFF"/>
        <w:wordWrap/>
        <w:overflowPunct w:val="0"/>
        <w:spacing w:line="590" w:lineRule="exact"/>
        <w:ind w:left="0" w:leftChars="0" w:right="0" w:firstLine="632" w:firstLineChars="20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第十三条</w:t>
      </w:r>
      <w:r>
        <w:rPr>
          <w:rFonts w:hint="eastAsia" w:ascii="宋体" w:hAnsi="宋体" w:eastAsia="仿宋_GB2312" w:cs="宋体"/>
          <w:color w:val="000000"/>
          <w:sz w:val="32"/>
          <w:szCs w:val="32"/>
        </w:rPr>
        <w:t xml:space="preserve">  违反本条例，有下列行为之一的，由自治县有关部门根据以下规定予以处罚：</w:t>
      </w:r>
    </w:p>
    <w:p>
      <w:pPr>
        <w:widowControl w:val="0"/>
        <w:wordWrap/>
        <w:overflowPunct w:val="0"/>
        <w:spacing w:line="590" w:lineRule="exact"/>
        <w:ind w:left="0" w:leftChars="0" w:right="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　　</w:t>
      </w:r>
      <w:r>
        <w:rPr>
          <w:rFonts w:hint="eastAsia" w:ascii="宋体" w:hAnsi="宋体" w:eastAsia="仿宋_GB2312" w:cs="宋体"/>
          <w:color w:val="000000"/>
          <w:sz w:val="32"/>
          <w:szCs w:val="32"/>
        </w:rPr>
        <w:t>（一）拒绝生态环境主管部门或者有关监督管理部门现场检查或者弄虚作假的，处二万元以上二十万元以下罚款,并由生态环境主管部门或者其他依照法律规定行使监督管理权的部门责令改正；</w:t>
      </w:r>
    </w:p>
    <w:p>
      <w:pPr>
        <w:widowControl w:val="0"/>
        <w:wordWrap/>
        <w:overflowPunct w:val="0"/>
        <w:spacing w:line="590" w:lineRule="exact"/>
        <w:ind w:left="0" w:leftChars="0" w:right="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　　</w:t>
      </w:r>
      <w:r>
        <w:rPr>
          <w:rFonts w:hint="eastAsia" w:ascii="宋体" w:hAnsi="宋体" w:eastAsia="仿宋_GB2312" w:cs="宋体"/>
          <w:color w:val="000000"/>
          <w:sz w:val="32"/>
          <w:szCs w:val="32"/>
        </w:rPr>
        <w:t>（二）违反第十二条第一项规定的，由生态环境主管部门处十万元以上五十万元以下罚款,并报经有批准权的人民政府批准，责令拆除或者关闭；</w:t>
      </w:r>
    </w:p>
    <w:p>
      <w:pPr>
        <w:widowControl w:val="0"/>
        <w:wordWrap/>
        <w:overflowPunct w:val="0"/>
        <w:spacing w:line="590" w:lineRule="exact"/>
        <w:ind w:left="0" w:leftChars="0" w:right="0"/>
        <w:textAlignment w:val="auto"/>
        <w:rPr>
          <w:rFonts w:hint="eastAsia" w:ascii="宋体" w:hAnsi="宋体" w:eastAsia="仿宋_GB2312" w:cs="宋体"/>
          <w:color w:val="000000"/>
          <w:sz w:val="32"/>
          <w:szCs w:val="32"/>
        </w:rPr>
      </w:pPr>
      <w:r>
        <w:rPr>
          <w:rFonts w:hint="eastAsia" w:ascii="宋体" w:hAnsi="宋体" w:eastAsia="黑体" w:cs="黑体"/>
          <w:color w:val="000000"/>
          <w:sz w:val="32"/>
          <w:szCs w:val="32"/>
        </w:rPr>
        <w:t>　　</w:t>
      </w:r>
      <w:r>
        <w:rPr>
          <w:rFonts w:hint="eastAsia" w:ascii="宋体" w:hAnsi="宋体" w:eastAsia="仿宋_GB2312" w:cs="宋体"/>
          <w:color w:val="000000"/>
          <w:sz w:val="32"/>
          <w:szCs w:val="32"/>
        </w:rPr>
        <w:t>（三）违反第十二条第三项规定的，由生态环境主管部门责令停止违法行为，责令限期采取治理措施，消除污染，处二万元以上二十万元以下罚款；</w:t>
      </w:r>
    </w:p>
    <w:p>
      <w:pPr>
        <w:widowControl w:val="0"/>
        <w:wordWrap/>
        <w:overflowPunct w:val="0"/>
        <w:spacing w:line="590" w:lineRule="exact"/>
        <w:ind w:left="0" w:leftChars="0" w:right="0" w:firstLine="642"/>
        <w:textAlignment w:val="auto"/>
        <w:rPr>
          <w:rFonts w:hint="eastAsia" w:ascii="宋体" w:hAnsi="宋体" w:eastAsia="仿宋_GB2312" w:cs="宋体"/>
          <w:color w:val="000000"/>
          <w:sz w:val="32"/>
          <w:szCs w:val="32"/>
        </w:rPr>
      </w:pPr>
      <w:r>
        <w:rPr>
          <w:rFonts w:hint="eastAsia" w:ascii="宋体" w:hAnsi="宋体" w:eastAsia="仿宋_GB2312" w:cs="宋体"/>
          <w:color w:val="000000"/>
          <w:sz w:val="32"/>
          <w:szCs w:val="32"/>
        </w:rPr>
        <w:t>（四）违反第十二条第二项规定的，由生态环境主管部门责令停止使用，并报经有批准权的人民政府批准，责令拆除或者关闭；</w:t>
      </w:r>
    </w:p>
    <w:p>
      <w:pPr>
        <w:widowControl w:val="0"/>
        <w:wordWrap/>
        <w:overflowPunct w:val="0"/>
        <w:spacing w:line="590" w:lineRule="exact"/>
        <w:ind w:left="0" w:leftChars="0" w:right="0" w:firstLine="642"/>
        <w:textAlignment w:val="auto"/>
        <w:rPr>
          <w:rFonts w:hint="eastAsia" w:ascii="宋体" w:hAnsi="宋体" w:eastAsia="仿宋_GB2312" w:cs="宋体"/>
          <w:color w:val="000000"/>
          <w:sz w:val="32"/>
          <w:szCs w:val="32"/>
        </w:rPr>
      </w:pPr>
      <w:r>
        <w:rPr>
          <w:rFonts w:hint="eastAsia" w:ascii="宋体" w:hAnsi="宋体" w:eastAsia="仿宋_GB2312" w:cs="宋体"/>
          <w:color w:val="000000"/>
          <w:sz w:val="32"/>
          <w:szCs w:val="32"/>
        </w:rPr>
        <w:t>（五）违反第十一条第一项规定的，由生态环境主管部门责令停止违法行为，限期采取治理措施，消除污染，处以罚款;逾期不采取治理措施的，生态环境主管部门可以指定有治理能力的单位代为治理，所需费用由违法者承担；</w:t>
      </w:r>
    </w:p>
    <w:p>
      <w:pPr>
        <w:widowControl w:val="0"/>
        <w:wordWrap/>
        <w:overflowPunct w:val="0"/>
        <w:spacing w:line="590" w:lineRule="exact"/>
        <w:ind w:left="0" w:leftChars="0" w:right="0" w:firstLine="642"/>
        <w:textAlignment w:val="auto"/>
        <w:rPr>
          <w:rFonts w:hint="eastAsia" w:ascii="宋体" w:hAnsi="宋体" w:eastAsia="仿宋_GB2312" w:cs="宋体"/>
          <w:color w:val="000000"/>
          <w:sz w:val="32"/>
          <w:szCs w:val="32"/>
        </w:rPr>
      </w:pPr>
      <w:r>
        <w:rPr>
          <w:rFonts w:hint="eastAsia" w:ascii="宋体" w:hAnsi="宋体" w:eastAsia="仿宋_GB2312" w:cs="宋体"/>
          <w:color w:val="000000"/>
          <w:sz w:val="32"/>
          <w:szCs w:val="32"/>
        </w:rPr>
        <w:t>（六）违反第十一条第二项规定的，由自治县公安部门依法予以处罚。</w:t>
      </w:r>
    </w:p>
    <w:p>
      <w:pPr>
        <w:widowControl w:val="0"/>
        <w:wordWrap/>
        <w:overflowPunct w:val="0"/>
        <w:spacing w:line="590" w:lineRule="exact"/>
        <w:ind w:left="0" w:leftChars="0" w:right="0" w:firstLine="642"/>
        <w:textAlignment w:val="auto"/>
        <w:rPr>
          <w:rFonts w:ascii="宋体" w:hAnsi="宋体" w:eastAsia="仿宋_GB2312" w:cs="宋体"/>
          <w:color w:val="000000"/>
          <w:sz w:val="32"/>
          <w:szCs w:val="32"/>
        </w:rPr>
      </w:pPr>
      <w:r>
        <w:rPr>
          <w:rFonts w:hint="eastAsia" w:ascii="宋体" w:hAnsi="宋体" w:eastAsia="黑体" w:cs="黑体"/>
          <w:color w:val="000000"/>
          <w:sz w:val="32"/>
          <w:szCs w:val="32"/>
        </w:rPr>
        <w:t>第十四条</w:t>
      </w:r>
      <w:r>
        <w:rPr>
          <w:rFonts w:hint="eastAsia" w:ascii="宋体" w:hAnsi="宋体" w:eastAsia="仿宋_GB2312" w:cs="宋体"/>
          <w:color w:val="000000"/>
          <w:sz w:val="32"/>
          <w:szCs w:val="32"/>
        </w:rPr>
        <w:t xml:space="preserve">  自治县人民政府应当至少每两年一次向上级人民政府和同级人民代表大会常务委员会报告水质保护情况。</w:t>
      </w:r>
      <w:r>
        <w:rPr>
          <w:rFonts w:hint="eastAsia" w:ascii="宋体" w:hAnsi="宋体" w:eastAsia="仿宋_GB2312" w:cs="宋体"/>
          <w:color w:val="000000"/>
          <w:sz w:val="32"/>
          <w:szCs w:val="32"/>
        </w:rPr>
        <w:br/>
      </w:r>
      <w:r>
        <w:rPr>
          <w:rFonts w:hint="eastAsia" w:ascii="宋体" w:hAnsi="宋体" w:eastAsia="仿宋_GB2312" w:cs="宋体"/>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宋体"/>
          <w:color w:val="000000"/>
          <w:sz w:val="32"/>
          <w:szCs w:val="32"/>
        </w:rPr>
        <w:t xml:space="preserve">  </w:t>
      </w:r>
      <w:r>
        <w:rPr>
          <w:rFonts w:hint="eastAsia" w:ascii="宋体" w:hAnsi="宋体" w:eastAsia="仿宋_GB2312" w:cs="仿宋_GB2312"/>
          <w:color w:val="000000"/>
          <w:kern w:val="0"/>
          <w:sz w:val="32"/>
          <w:szCs w:val="32"/>
          <w:shd w:val="clear" w:color="auto" w:fill="FFFFFF"/>
          <w:lang/>
        </w:rPr>
        <w:t>本条例自公布之日起施行。</w:t>
      </w:r>
    </w:p>
    <w:p>
      <w:pPr>
        <w:spacing w:line="590" w:lineRule="exact"/>
        <w:rPr>
          <w:rFonts w:hint="eastAsia" w:ascii="宋体" w:hAnsi="宋体"/>
          <w:color w:val="000000"/>
        </w:rPr>
      </w:pPr>
    </w:p>
    <w:p/>
    <w:sectPr>
      <w:pgSz w:w="11906" w:h="16838"/>
      <w:pgMar w:top="1984" w:right="1531" w:bottom="1871" w:left="1531" w:header="851" w:footer="992" w:gutter="0"/>
      <w:paperSrc w:first="0" w:other="0"/>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158"/>
  <w:drawingGridVerticalSpacing w:val="29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style w:type="paragraph" w:default="1" w:styleId="1">
    <w:name w:val="Normal"/>
    <w:next w:val="2"/>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tyle>
  <w:style w:type="paragraph" w:styleId="2">
    <w:name w:val="Normal Indent"/>
    <w:basedOn w:val="1"/>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2019-05-23T11:29:00Z</dcterms:created>
  <dc:creator>唐莉</dc:creator>
  <cp:lastModifiedBy>唐莉</cp:lastModifiedBy>
  <dcterms:modified xsi:type="dcterms:W3CDTF">2019-05-23T16:50:50Z</dcterms:modified>
  <dc:title>乳源瑶族自治县水污染防治条例</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