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C89" w:rsidRDefault="00717C89" w:rsidP="00B46BA8">
      <w:pPr>
        <w:topLinePunct/>
        <w:spacing w:line="592" w:lineRule="exact"/>
        <w:jc w:val="center"/>
        <w:rPr>
          <w:rFonts w:ascii="Times New Roman" w:eastAsia="仿宋_GB2312" w:hAnsi="Times New Roman" w:cs="Times New Roman"/>
          <w:snapToGrid w:val="0"/>
          <w:color w:val="000000"/>
          <w:sz w:val="32"/>
          <w:szCs w:val="32"/>
        </w:rPr>
      </w:pPr>
    </w:p>
    <w:p w:rsidR="00717C89" w:rsidRDefault="00717C89" w:rsidP="00B46BA8">
      <w:pPr>
        <w:topLinePunct/>
        <w:spacing w:line="592" w:lineRule="exact"/>
        <w:jc w:val="center"/>
        <w:rPr>
          <w:rFonts w:ascii="Times New Roman" w:eastAsia="仿宋_GB2312" w:hAnsi="Times New Roman" w:cs="Times New Roman"/>
          <w:snapToGrid w:val="0"/>
          <w:color w:val="000000"/>
          <w:sz w:val="32"/>
          <w:szCs w:val="32"/>
        </w:rPr>
      </w:pPr>
    </w:p>
    <w:p w:rsidR="00717C89" w:rsidRPr="00F52CD3" w:rsidRDefault="00717C89" w:rsidP="00F52CD3">
      <w:pPr>
        <w:topLinePunct/>
        <w:adjustRightInd w:val="0"/>
        <w:snapToGrid w:val="0"/>
        <w:spacing w:line="592" w:lineRule="exact"/>
        <w:jc w:val="center"/>
        <w:rPr>
          <w:rFonts w:ascii="宋体" w:eastAsia="宋体" w:hAnsi="宋体" w:cs="Times New Roman"/>
          <w:snapToGrid w:val="0"/>
          <w:color w:val="000000"/>
          <w:sz w:val="44"/>
          <w:szCs w:val="44"/>
        </w:rPr>
      </w:pPr>
      <w:r w:rsidRPr="00F52CD3">
        <w:rPr>
          <w:rFonts w:ascii="宋体" w:eastAsia="宋体" w:hAnsi="宋体" w:cs="Times New Roman" w:hint="eastAsia"/>
          <w:snapToGrid w:val="0"/>
          <w:color w:val="000000"/>
          <w:sz w:val="44"/>
          <w:szCs w:val="44"/>
        </w:rPr>
        <w:t>云南省人民代表大会常务委员会</w:t>
      </w:r>
    </w:p>
    <w:p w:rsidR="00717C89" w:rsidRPr="00F52CD3" w:rsidRDefault="00717C89" w:rsidP="00F52CD3">
      <w:pPr>
        <w:topLinePunct/>
        <w:adjustRightInd w:val="0"/>
        <w:snapToGrid w:val="0"/>
        <w:spacing w:line="592" w:lineRule="exact"/>
        <w:jc w:val="center"/>
        <w:rPr>
          <w:rFonts w:ascii="宋体" w:eastAsia="宋体" w:hAnsi="宋体" w:cs="Times New Roman"/>
          <w:snapToGrid w:val="0"/>
          <w:color w:val="000000"/>
          <w:sz w:val="44"/>
          <w:szCs w:val="44"/>
        </w:rPr>
      </w:pPr>
      <w:r w:rsidRPr="00F52CD3">
        <w:rPr>
          <w:rFonts w:ascii="宋体" w:eastAsia="宋体" w:hAnsi="宋体" w:cs="Times New Roman" w:hint="eastAsia"/>
          <w:snapToGrid w:val="0"/>
          <w:color w:val="000000"/>
          <w:sz w:val="44"/>
          <w:szCs w:val="44"/>
        </w:rPr>
        <w:t>关于加强检察机关公益诉讼工作的决定</w:t>
      </w:r>
    </w:p>
    <w:p w:rsidR="00717C89" w:rsidRDefault="00717C89" w:rsidP="00F52CD3">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717C89" w:rsidRPr="00F52CD3" w:rsidRDefault="00717C89" w:rsidP="00F52CD3">
      <w:pPr>
        <w:topLinePunct/>
        <w:adjustRightInd w:val="0"/>
        <w:snapToGrid w:val="0"/>
        <w:spacing w:line="592" w:lineRule="exact"/>
        <w:jc w:val="center"/>
        <w:rPr>
          <w:rFonts w:ascii="Times New Roman" w:eastAsia="楷体_GB2312" w:hAnsi="Times New Roman" w:cs="Times New Roman"/>
          <w:snapToGrid w:val="0"/>
          <w:color w:val="000000"/>
          <w:sz w:val="32"/>
          <w:szCs w:val="32"/>
        </w:rPr>
      </w:pPr>
      <w:r w:rsidRPr="00F52CD3">
        <w:rPr>
          <w:rFonts w:ascii="Times New Roman" w:eastAsia="楷体_GB2312" w:hAnsi="Times New Roman" w:cs="Times New Roman" w:hint="eastAsia"/>
          <w:snapToGrid w:val="0"/>
          <w:color w:val="000000"/>
          <w:sz w:val="32"/>
          <w:szCs w:val="32"/>
        </w:rPr>
        <w:t>（</w:t>
      </w:r>
      <w:r w:rsidRPr="00F52CD3">
        <w:rPr>
          <w:rFonts w:ascii="Times New Roman" w:eastAsia="楷体_GB2312" w:hAnsi="Times New Roman" w:cs="Times New Roman"/>
          <w:snapToGrid w:val="0"/>
          <w:color w:val="000000"/>
          <w:sz w:val="32"/>
          <w:szCs w:val="32"/>
        </w:rPr>
        <w:t>2019</w:t>
      </w:r>
      <w:r w:rsidRPr="00F52CD3">
        <w:rPr>
          <w:rFonts w:ascii="Times New Roman" w:eastAsia="楷体_GB2312" w:hAnsi="Times New Roman" w:cs="Times New Roman" w:hint="eastAsia"/>
          <w:snapToGrid w:val="0"/>
          <w:color w:val="000000"/>
          <w:sz w:val="32"/>
          <w:szCs w:val="32"/>
        </w:rPr>
        <w:t>年</w:t>
      </w:r>
      <w:r w:rsidRPr="00F52CD3">
        <w:rPr>
          <w:rFonts w:ascii="Times New Roman" w:eastAsia="楷体_GB2312" w:hAnsi="Times New Roman" w:cs="Times New Roman"/>
          <w:snapToGrid w:val="0"/>
          <w:color w:val="000000"/>
          <w:sz w:val="32"/>
          <w:szCs w:val="32"/>
        </w:rPr>
        <w:t>9</w:t>
      </w:r>
      <w:r w:rsidRPr="00F52CD3">
        <w:rPr>
          <w:rFonts w:ascii="Times New Roman" w:eastAsia="楷体_GB2312" w:hAnsi="Times New Roman" w:cs="Times New Roman" w:hint="eastAsia"/>
          <w:snapToGrid w:val="0"/>
          <w:color w:val="000000"/>
          <w:sz w:val="32"/>
          <w:szCs w:val="32"/>
        </w:rPr>
        <w:t>月</w:t>
      </w:r>
      <w:r>
        <w:rPr>
          <w:rFonts w:ascii="Times New Roman" w:eastAsia="楷体_GB2312" w:hAnsi="Times New Roman" w:cs="Times New Roman"/>
          <w:snapToGrid w:val="0"/>
          <w:color w:val="000000"/>
          <w:sz w:val="32"/>
          <w:szCs w:val="32"/>
        </w:rPr>
        <w:t>28</w:t>
      </w:r>
      <w:r w:rsidRPr="00F52CD3">
        <w:rPr>
          <w:rFonts w:ascii="Times New Roman" w:eastAsia="楷体_GB2312" w:hAnsi="Times New Roman" w:cs="Times New Roman" w:hint="eastAsia"/>
          <w:snapToGrid w:val="0"/>
          <w:color w:val="000000"/>
          <w:sz w:val="32"/>
          <w:szCs w:val="32"/>
        </w:rPr>
        <w:t>日云南省第十三届人民代表大会</w:t>
      </w:r>
    </w:p>
    <w:p w:rsidR="00717C89" w:rsidRPr="00F52CD3" w:rsidRDefault="00717C89" w:rsidP="00F52CD3">
      <w:pPr>
        <w:topLinePunct/>
        <w:adjustRightInd w:val="0"/>
        <w:snapToGrid w:val="0"/>
        <w:spacing w:line="592" w:lineRule="exact"/>
        <w:jc w:val="center"/>
        <w:rPr>
          <w:rFonts w:ascii="Times New Roman" w:eastAsia="楷体_GB2312" w:hAnsi="Times New Roman" w:cs="Times New Roman"/>
          <w:snapToGrid w:val="0"/>
          <w:color w:val="000000"/>
          <w:sz w:val="32"/>
          <w:szCs w:val="32"/>
        </w:rPr>
      </w:pPr>
      <w:r w:rsidRPr="00F52CD3">
        <w:rPr>
          <w:rFonts w:ascii="Times New Roman" w:eastAsia="楷体_GB2312" w:hAnsi="Times New Roman" w:cs="Times New Roman" w:hint="eastAsia"/>
          <w:snapToGrid w:val="0"/>
          <w:color w:val="000000"/>
          <w:sz w:val="32"/>
          <w:szCs w:val="32"/>
        </w:rPr>
        <w:t>常务委员会第十三次会议通过）</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为进一步加强我省检察机关公益诉讼工作，切实维护国家和社会公共利益，推进我省社会治理现代化步伐。根据《中华人民共和国民事诉讼法》《中华人民共和国行政诉讼法》《中华人民共和国人民检察院组织法》等有关法律规定，结合我省实际，作出以下决定：</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一、</w:t>
      </w:r>
      <w:r w:rsidRPr="00F52CD3">
        <w:rPr>
          <w:rFonts w:ascii="Times New Roman" w:eastAsia="仿宋_GB2312" w:hAnsi="Times New Roman" w:cs="Times New Roman" w:hint="eastAsia"/>
          <w:snapToGrid w:val="0"/>
          <w:color w:val="000000"/>
          <w:sz w:val="32"/>
          <w:szCs w:val="32"/>
        </w:rPr>
        <w:t>全省各级人大常委会、各级国家机关、企事业单位、社会组织和公民，要充分认识建立检察机关提起公益诉讼制度的重要意义，积极支持和推进公益诉讼工作，共同维护国家和社会公共利益。</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二、</w:t>
      </w:r>
      <w:r w:rsidRPr="00F52CD3">
        <w:rPr>
          <w:rFonts w:ascii="Times New Roman" w:eastAsia="仿宋_GB2312" w:hAnsi="Times New Roman" w:cs="Times New Roman" w:hint="eastAsia"/>
          <w:snapToGrid w:val="0"/>
          <w:color w:val="000000"/>
          <w:sz w:val="32"/>
          <w:szCs w:val="32"/>
        </w:rPr>
        <w:t>各级检察机关要牢固树立“公益保护”核心理念，坚持保护公益与促进经济社会发展并重、加强法律监督与促进依法行政并重、加大办案力度与提高办案质效并重的原则，严格依照法定权限和程序开展公益诉讼工作，充分运用诉前检察建议、提起诉讼、支持起诉、督促起诉等方式，全面履行公益诉讼职责。</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三、</w:t>
      </w:r>
      <w:r w:rsidRPr="00F52CD3">
        <w:rPr>
          <w:rFonts w:ascii="Times New Roman" w:eastAsia="仿宋_GB2312" w:hAnsi="Times New Roman" w:cs="Times New Roman" w:hint="eastAsia"/>
          <w:snapToGrid w:val="0"/>
          <w:color w:val="000000"/>
          <w:sz w:val="32"/>
          <w:szCs w:val="32"/>
        </w:rPr>
        <w:t>检察机关要围绕全省工作中心和大局，依法办理下列领域公益诉讼案件：</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（一）大气、水</w:t>
      </w:r>
      <w:r>
        <w:rPr>
          <w:rFonts w:ascii="Times New Roman" w:eastAsia="仿宋_GB2312" w:hAnsi="Times New Roman" w:cs="Times New Roman" w:hint="eastAsia"/>
          <w:snapToGrid w:val="0"/>
          <w:color w:val="000000"/>
          <w:sz w:val="32"/>
          <w:szCs w:val="32"/>
        </w:rPr>
        <w:t>体、土壤</w:t>
      </w:r>
      <w:r w:rsidRPr="00F52CD3">
        <w:rPr>
          <w:rFonts w:ascii="Times New Roman" w:eastAsia="仿宋_GB2312" w:hAnsi="Times New Roman" w:cs="Times New Roman" w:hint="eastAsia"/>
          <w:snapToGrid w:val="0"/>
          <w:color w:val="000000"/>
          <w:sz w:val="32"/>
          <w:szCs w:val="32"/>
        </w:rPr>
        <w:t>、固体废物、放射性、噪音、农业面源等污染；破坏自然保护区、风景名胜区、饮用水水源地、湿地及其它土地资源、矿产资源、林业资源、草原资源、水资源等生态环境和资源保护领域的公益诉讼案件；</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（二）生产、加工、流通、销售等环节的食品药品安全领域的公益诉讼案件；</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（三）经营性、行政事业性、税收类、费用类、财政补贴类、社会保障类等国有财产保护领域的公益诉讼案件；</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（四）国有土地供应、出让、监管等国有土地使用权出让领域的公益诉讼案件；</w:t>
      </w:r>
      <w:r w:rsidRPr="00F52CD3">
        <w:rPr>
          <w:rFonts w:ascii="Times New Roman" w:eastAsia="仿宋_GB2312" w:hAnsi="Times New Roman" w:cs="Times New Roman"/>
          <w:snapToGrid w:val="0"/>
          <w:color w:val="000000"/>
          <w:sz w:val="32"/>
          <w:szCs w:val="32"/>
        </w:rPr>
        <w:t xml:space="preserve"> </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（五）侵害英雄烈士的姓名、肖像、名誉、荣誉，侵占、破坏、污损英雄烈士纪念设施等英雄烈士名誉荣誉保护领域的公益诉讼案件；</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（六）安全生产、旅游消费、文物和文化遗产保护、公民个人信息保护、未成年人保护、老年人权益保护以及互联网等领域中侵害国家利益和社会公共利益的公益诉讼案件；</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（七）农业农村领域中侵害国家利益和社会公共利益的公益诉讼案件；</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（八）其他依法应当由检察机关办理的公益诉讼案件。</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四、</w:t>
      </w:r>
      <w:r w:rsidRPr="00F52CD3">
        <w:rPr>
          <w:rFonts w:ascii="Times New Roman" w:eastAsia="仿宋_GB2312" w:hAnsi="Times New Roman" w:cs="Times New Roman" w:hint="eastAsia"/>
          <w:snapToGrid w:val="0"/>
          <w:color w:val="000000"/>
          <w:sz w:val="32"/>
          <w:szCs w:val="32"/>
        </w:rPr>
        <w:t>检察机关在办理公益诉讼案件中应全面、客观收集证据。依法行使调查权时，可以采取下列方式收集证据、核实有关情况。</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（一）查阅、摘抄、复制有关行政执法卷宗材料、行政执法信息平台执法信息和相关检测、监测数据等；</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（二）询问违法行为人、受害人、行政相对人、证人以及行政机关相关人员等；</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（三）咨询专业人员、相关部门或者行业协会等对专门问题的意见；</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（四）收集书证、物证、视听资料、电子证据等；</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（五）委托鉴定、评估、审计，检验、检测、监测；</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（六）勘验、检查物证，勘验现场；</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（七）听取相关单位意见；</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（八）其他合法的调查方式。</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五、</w:t>
      </w:r>
      <w:r w:rsidRPr="00F52CD3">
        <w:rPr>
          <w:rFonts w:ascii="Times New Roman" w:eastAsia="仿宋_GB2312" w:hAnsi="Times New Roman" w:cs="Times New Roman" w:hint="eastAsia"/>
          <w:snapToGrid w:val="0"/>
          <w:color w:val="000000"/>
          <w:sz w:val="32"/>
          <w:szCs w:val="32"/>
        </w:rPr>
        <w:t>行政机关、企事业单位、社会组织应当积极配合检察机关调查取证工作。需要有关单位、社会组织做出检验、鉴定、评估、勘验以及提供有关证据、资料等协助的，应当予以协助，不得拒绝、推诿、干扰、抗拒、阻挠。对妨碍调查取证、核实情况的行政机关、企事业单位、社会组织，检察机关可以约谈、通报其上级主管部门。</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六、</w:t>
      </w:r>
      <w:r w:rsidRPr="00F52CD3">
        <w:rPr>
          <w:rFonts w:ascii="Times New Roman" w:eastAsia="仿宋_GB2312" w:hAnsi="Times New Roman" w:cs="Times New Roman" w:hint="eastAsia"/>
          <w:snapToGrid w:val="0"/>
          <w:color w:val="000000"/>
          <w:sz w:val="32"/>
          <w:szCs w:val="32"/>
        </w:rPr>
        <w:t>检察机关在公益诉讼中，对相关单位在制度和管理等方面存在的问题，以及可能导致国家利益或社会公共利益损害等情况，可以向负有监管职责的部门提出改进工作、完善治理的检察建议。被建议单位应采取措施，完善制度，消除隐患，并将整改情况书面回复检察机关。</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七、</w:t>
      </w:r>
      <w:r w:rsidRPr="00F52CD3">
        <w:rPr>
          <w:rFonts w:ascii="Times New Roman" w:eastAsia="仿宋_GB2312" w:hAnsi="Times New Roman" w:cs="Times New Roman" w:hint="eastAsia"/>
          <w:snapToGrid w:val="0"/>
          <w:color w:val="000000"/>
          <w:sz w:val="32"/>
          <w:szCs w:val="32"/>
        </w:rPr>
        <w:t>检察机关在公益诉讼中，对发现负有监督管理职责的行政机关违法行使职权或者不作为，致使国家利益或者社会公共利益受到侵害的，应当按照公益诉讼诉前程序要求，向行政机关提出检察建议，督促行政机关依法履职。</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对社会影响大、群众关注度高、违法情形具有典型性、所涉问题应当引起有关部门重视的诉前检察建议书，可以抄送同级党委、人大、政府、监察机关以及被建议单位的上级主管机关。</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八、</w:t>
      </w:r>
      <w:r w:rsidRPr="00F52CD3">
        <w:rPr>
          <w:rFonts w:ascii="Times New Roman" w:eastAsia="仿宋_GB2312" w:hAnsi="Times New Roman" w:cs="Times New Roman" w:hint="eastAsia"/>
          <w:snapToGrid w:val="0"/>
          <w:color w:val="000000"/>
          <w:sz w:val="32"/>
          <w:szCs w:val="32"/>
        </w:rPr>
        <w:t>检察机关可以对诉前检察建议进行宣告或公告。宣告送达可以在人民检察院、被建议单位或者其他适宜场所进行。宣告送达可以邀请人大代表、政协委员、特约检察员、人民监督员等参加。公告可以通过报刊、网络或新闻媒体进行。</w:t>
      </w:r>
      <w:r w:rsidRPr="00F52CD3">
        <w:rPr>
          <w:rFonts w:ascii="Times New Roman" w:eastAsia="仿宋_GB2312" w:hAnsi="Times New Roman" w:cs="Times New Roman"/>
          <w:snapToGrid w:val="0"/>
          <w:color w:val="000000"/>
          <w:sz w:val="32"/>
          <w:szCs w:val="32"/>
        </w:rPr>
        <w:t xml:space="preserve"> </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九、</w:t>
      </w:r>
      <w:r w:rsidRPr="00F52CD3">
        <w:rPr>
          <w:rFonts w:ascii="Times New Roman" w:eastAsia="仿宋_GB2312" w:hAnsi="Times New Roman" w:cs="Times New Roman" w:hint="eastAsia"/>
          <w:snapToGrid w:val="0"/>
          <w:color w:val="000000"/>
          <w:sz w:val="32"/>
          <w:szCs w:val="32"/>
        </w:rPr>
        <w:t>行政机关对检察机关提出的诉前检察建议，应认真研究，做好整改落实工作。诉前检察建议的办理情况应在收到诉前检察建议之日起两个月内书面回复检察机关。出现国家利益或者社会公共利益损害继续扩大等紧急情形的，应当在十五日内书面回复。书面回复应附相关佐证材料。</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十、</w:t>
      </w:r>
      <w:r w:rsidRPr="00F52CD3">
        <w:rPr>
          <w:rFonts w:ascii="Times New Roman" w:eastAsia="仿宋_GB2312" w:hAnsi="Times New Roman" w:cs="Times New Roman" w:hint="eastAsia"/>
          <w:snapToGrid w:val="0"/>
          <w:color w:val="000000"/>
          <w:sz w:val="32"/>
          <w:szCs w:val="32"/>
        </w:rPr>
        <w:t>检察机关应当对行政机关落实诉前检察建议的情况进行跟踪监督。对经过诉前程序，负有监督管理职责的行政机关仍不依法履行职责，受损公益未得到有效保护的，应当依法及时提起诉讼。</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十一、</w:t>
      </w:r>
      <w:r w:rsidRPr="00F52CD3">
        <w:rPr>
          <w:rFonts w:ascii="Times New Roman" w:eastAsia="仿宋_GB2312" w:hAnsi="Times New Roman" w:cs="Times New Roman" w:hint="eastAsia"/>
          <w:snapToGrid w:val="0"/>
          <w:color w:val="000000"/>
          <w:sz w:val="32"/>
          <w:szCs w:val="32"/>
        </w:rPr>
        <w:t>检察机关对发现破坏生态环境和资源保护、食品药品安全领域侵害众多消费者合法权益等损害社会公共利益的行为，需要提起民事公益诉讼的，应当依法公告，告知法律规定的机关、组织提起民事公益诉讼。适格主体提起诉讼的，检察机关可以支持起诉。适格主体不提起诉讼或者无适格主体的，检察机关可以提起民事公益诉讼。</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十二、</w:t>
      </w:r>
      <w:r w:rsidRPr="00F52CD3">
        <w:rPr>
          <w:rFonts w:ascii="Times New Roman" w:eastAsia="仿宋_GB2312" w:hAnsi="Times New Roman" w:cs="Times New Roman" w:hint="eastAsia"/>
          <w:snapToGrid w:val="0"/>
          <w:color w:val="000000"/>
          <w:sz w:val="32"/>
          <w:szCs w:val="32"/>
        </w:rPr>
        <w:t>监察机关要发挥监督、调查、处置作用。对干预、妨害、阻扰检察机关依法履行公益诉讼职责的，监察机关应当对违法的公职人员依法作出政务处分决定。行政机关不落实检察建议，导致国家利益和社会公共利益出现重大损失，监察机关应当对违法的公职人员依法作出政务处分决定，对履行职责不力、失职失责的领导人员进行问责，构成职务犯罪的，依法追究刑事责任。</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十三、</w:t>
      </w:r>
      <w:r w:rsidRPr="00F52CD3">
        <w:rPr>
          <w:rFonts w:ascii="Times New Roman" w:eastAsia="仿宋_GB2312" w:hAnsi="Times New Roman" w:cs="Times New Roman" w:hint="eastAsia"/>
          <w:snapToGrid w:val="0"/>
          <w:color w:val="000000"/>
          <w:sz w:val="32"/>
          <w:szCs w:val="32"/>
        </w:rPr>
        <w:t>监察机关与检察机关应当建立案件线索双向移送机制。检察机关在办理公益诉讼案件中，发现公职人员涉嫌职务违法、职务犯罪的问题线索，应当及时移送监察机关依法处理。监察机关在工作中发现公益诉讼案件线索，应当及时移送检察机关依法处理。监察机关、检察机关对相互移送的案件线索应及时办理，并视情将处理情况书面回复对方。</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十四、</w:t>
      </w:r>
      <w:r w:rsidRPr="00F52CD3">
        <w:rPr>
          <w:rFonts w:ascii="Times New Roman" w:eastAsia="仿宋_GB2312" w:hAnsi="Times New Roman" w:cs="Times New Roman" w:hint="eastAsia"/>
          <w:snapToGrid w:val="0"/>
          <w:color w:val="000000"/>
          <w:sz w:val="32"/>
          <w:szCs w:val="32"/>
        </w:rPr>
        <w:t>各级政府及其行政部门应当建立支持检察机关公益诉讼的工作制度。根据公益诉讼工作需要，开展专项活动。在行政执法中发现属于检察机关管辖的公益诉讼案件线索应当及时移送。积极做好行政公益诉讼出庭应诉工作，行政机关负责人应当出庭应诉，不得拒绝或无正当理由延迟答辩举证，依法执行公益诉讼生效判决。</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十五、</w:t>
      </w:r>
      <w:r w:rsidRPr="00F52CD3">
        <w:rPr>
          <w:rFonts w:ascii="Times New Roman" w:eastAsia="仿宋_GB2312" w:hAnsi="Times New Roman" w:cs="Times New Roman" w:hint="eastAsia"/>
          <w:snapToGrid w:val="0"/>
          <w:color w:val="000000"/>
          <w:sz w:val="32"/>
          <w:szCs w:val="32"/>
        </w:rPr>
        <w:t>公安机关应当按照协同保护公益原则，与检察机关建立案件线索双向移送及办案协作机制。公安机关发现公益诉讼案件线索，应当及时移送检察机关依法处理，对检察机关在办理公益诉讼案件过程中移送的刑事犯罪案件线索应当依法处理并书面回复处理情况。</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十六、</w:t>
      </w:r>
      <w:r w:rsidRPr="00F52CD3">
        <w:rPr>
          <w:rFonts w:ascii="Times New Roman" w:eastAsia="仿宋_GB2312" w:hAnsi="Times New Roman" w:cs="Times New Roman" w:hint="eastAsia"/>
          <w:snapToGrid w:val="0"/>
          <w:color w:val="000000"/>
          <w:sz w:val="32"/>
          <w:szCs w:val="32"/>
        </w:rPr>
        <w:t>审判机关与检察机关要加强沟通，建立协调机制，研究解决公益诉讼案件受理管辖、审理程序、证据使用、案件执行等问题。对检察机关依法提起的公益诉讼案件，应当及时受理和审理，依法作出裁判。在审判过程中发现有关单位在制度和管理等方面存在问题的，及时提出司法建议。对于可能导致国家利益或社会公共利益受损等情况的，及时采取保全措施。加大公益诉讼案件判决执行力度，实现公益保护目的。</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十七、</w:t>
      </w:r>
      <w:r w:rsidRPr="00F52CD3">
        <w:rPr>
          <w:rFonts w:ascii="Times New Roman" w:eastAsia="仿宋_GB2312" w:hAnsi="Times New Roman" w:cs="Times New Roman" w:hint="eastAsia"/>
          <w:snapToGrid w:val="0"/>
          <w:color w:val="000000"/>
          <w:sz w:val="32"/>
          <w:szCs w:val="32"/>
        </w:rPr>
        <w:t>省人民政府财政部门应当将检察机关开展公益诉讼工作所需的调查核实、鉴定评估、专家咨询、举报奖励等必要费用纳入财政预算。各级人民政府要建立适应公益诉讼生态环境损害赔偿和修复制度，形成生态环境保护和修复的长效机制。公益诉讼损害赔偿资金应缴入责任地所在财政部门，实行专款专账管理，按照一案一议的原则申领并组织生态修复。各级检察机关要依法支持政府及其指定的部门或机构主张生态环境损害赔偿权利。</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十八、</w:t>
      </w:r>
      <w:r w:rsidRPr="00F52CD3">
        <w:rPr>
          <w:rFonts w:ascii="Times New Roman" w:eastAsia="仿宋_GB2312" w:hAnsi="Times New Roman" w:cs="Times New Roman" w:hint="eastAsia"/>
          <w:snapToGrid w:val="0"/>
          <w:color w:val="000000"/>
          <w:sz w:val="32"/>
          <w:szCs w:val="32"/>
        </w:rPr>
        <w:t>全省各级人民代表大会及其常委会要依法监督和支持检察机关开展公益诉讼工作。对公益诉讼工作中的重大问题、重大事项或重要情况要监督有关部门依法办理。省人民检察院应于每年四月份前向省人大常委会提交上年度检察公益诉讼年度情况报告，并抄送省人民政府。</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6945B3">
        <w:rPr>
          <w:rFonts w:ascii="黑体" w:eastAsia="黑体" w:hAnsi="黑体" w:cs="Times New Roman" w:hint="eastAsia"/>
          <w:snapToGrid w:val="0"/>
          <w:color w:val="000000"/>
          <w:sz w:val="32"/>
          <w:szCs w:val="32"/>
        </w:rPr>
        <w:t>十九、</w:t>
      </w:r>
      <w:r w:rsidRPr="00F52CD3">
        <w:rPr>
          <w:rFonts w:ascii="Times New Roman" w:eastAsia="仿宋_GB2312" w:hAnsi="Times New Roman" w:cs="Times New Roman" w:hint="eastAsia"/>
          <w:snapToGrid w:val="0"/>
          <w:color w:val="000000"/>
          <w:sz w:val="32"/>
          <w:szCs w:val="32"/>
        </w:rPr>
        <w:t>全省各级宣传文化部门、各新闻媒体和教育机构要加大公益诉讼宣传力度，提升全民的法治意识和公益保护意识。政府部门、检察机关、审判机关、企事业单位、社会组织要积极开展各类公益活动，宣传、倡导公益理念和生态文明的生活方式，为美丽云南建设创造良好社会环境。</w:t>
      </w:r>
    </w:p>
    <w:p w:rsidR="00717C89" w:rsidRPr="00F52CD3" w:rsidRDefault="00717C89" w:rsidP="00F52CD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52CD3">
        <w:rPr>
          <w:rFonts w:ascii="Times New Roman" w:eastAsia="仿宋_GB2312" w:hAnsi="Times New Roman" w:cs="Times New Roman" w:hint="eastAsia"/>
          <w:snapToGrid w:val="0"/>
          <w:color w:val="000000"/>
          <w:sz w:val="32"/>
          <w:szCs w:val="32"/>
        </w:rPr>
        <w:t>本决定自公布之日起施行。</w:t>
      </w:r>
    </w:p>
    <w:p w:rsidR="00717C89" w:rsidRDefault="00717C89" w:rsidP="00FB7A78">
      <w:pPr>
        <w:topLinePunct/>
        <w:adjustRightInd w:val="0"/>
        <w:snapToGrid w:val="0"/>
        <w:spacing w:line="592" w:lineRule="exact"/>
        <w:ind w:leftChars="200" w:left="420" w:rightChars="200" w:right="420"/>
        <w:rPr>
          <w:rFonts w:ascii="楷体_GB2312" w:eastAsia="楷体_GB2312" w:hAnsi="Times New Roman"/>
          <w:snapToGrid w:val="0"/>
          <w:color w:val="000000"/>
          <w:kern w:val="32"/>
          <w:sz w:val="32"/>
          <w:szCs w:val="32"/>
        </w:rPr>
      </w:pPr>
    </w:p>
    <w:p w:rsidR="00717C89" w:rsidRDefault="00717C89" w:rsidP="00FB7A78">
      <w:pPr>
        <w:topLinePunct/>
        <w:adjustRightInd w:val="0"/>
        <w:snapToGrid w:val="0"/>
        <w:spacing w:line="592" w:lineRule="exact"/>
        <w:ind w:leftChars="200" w:left="420" w:rightChars="200" w:right="420"/>
        <w:rPr>
          <w:rFonts w:ascii="楷体_GB2312" w:eastAsia="楷体_GB2312" w:hAnsi="Times New Roman"/>
          <w:snapToGrid w:val="0"/>
          <w:color w:val="000000"/>
          <w:kern w:val="32"/>
          <w:sz w:val="32"/>
          <w:szCs w:val="32"/>
        </w:rPr>
      </w:pPr>
    </w:p>
    <w:p w:rsidR="00717C89" w:rsidRDefault="00717C89" w:rsidP="00FB7A78">
      <w:pPr>
        <w:topLinePunct/>
        <w:adjustRightInd w:val="0"/>
        <w:snapToGrid w:val="0"/>
        <w:spacing w:line="592" w:lineRule="exact"/>
        <w:ind w:leftChars="200" w:left="420" w:rightChars="200" w:right="420"/>
        <w:rPr>
          <w:rFonts w:ascii="楷体_GB2312" w:eastAsia="楷体_GB2312" w:hAnsi="Times New Roman"/>
          <w:snapToGrid w:val="0"/>
          <w:color w:val="000000"/>
          <w:kern w:val="32"/>
          <w:sz w:val="32"/>
          <w:szCs w:val="32"/>
        </w:rPr>
      </w:pPr>
    </w:p>
    <w:p w:rsidR="00717C89" w:rsidRDefault="00717C89" w:rsidP="00FB7A78">
      <w:pPr>
        <w:topLinePunct/>
        <w:adjustRightInd w:val="0"/>
        <w:snapToGrid w:val="0"/>
        <w:spacing w:line="592" w:lineRule="exact"/>
        <w:ind w:leftChars="200" w:left="420" w:rightChars="200" w:right="420"/>
        <w:rPr>
          <w:rFonts w:ascii="楷体_GB2312" w:eastAsia="楷体_GB2312" w:hAnsi="Times New Roman"/>
          <w:snapToGrid w:val="0"/>
          <w:color w:val="000000"/>
          <w:kern w:val="32"/>
          <w:sz w:val="32"/>
          <w:szCs w:val="32"/>
        </w:rPr>
      </w:pPr>
    </w:p>
    <w:sectPr w:rsidR="00717C89"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C89" w:rsidRDefault="00717C89">
      <w:r>
        <w:separator/>
      </w:r>
    </w:p>
  </w:endnote>
  <w:endnote w:type="continuationSeparator" w:id="0">
    <w:p w:rsidR="00717C89" w:rsidRDefault="00717C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C89" w:rsidRDefault="00717C89">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717C89" w:rsidRDefault="00717C89">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C89" w:rsidRDefault="00717C89">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3</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717C89" w:rsidRDefault="00717C89">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C89" w:rsidRDefault="00717C89">
      <w:r>
        <w:separator/>
      </w:r>
    </w:p>
  </w:footnote>
  <w:footnote w:type="continuationSeparator" w:id="0">
    <w:p w:rsidR="00717C89" w:rsidRDefault="00717C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C89" w:rsidRDefault="00717C89">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779"/>
    <w:rsid w:val="000163AD"/>
    <w:rsid w:val="00016626"/>
    <w:rsid w:val="0001685A"/>
    <w:rsid w:val="00016A91"/>
    <w:rsid w:val="00016C25"/>
    <w:rsid w:val="00016F76"/>
    <w:rsid w:val="000179C6"/>
    <w:rsid w:val="00017A47"/>
    <w:rsid w:val="00017FBD"/>
    <w:rsid w:val="00020DE2"/>
    <w:rsid w:val="00021521"/>
    <w:rsid w:val="00022199"/>
    <w:rsid w:val="00022326"/>
    <w:rsid w:val="00022812"/>
    <w:rsid w:val="00023C1A"/>
    <w:rsid w:val="00023D0A"/>
    <w:rsid w:val="000240FA"/>
    <w:rsid w:val="00025644"/>
    <w:rsid w:val="00025AFA"/>
    <w:rsid w:val="00025ECD"/>
    <w:rsid w:val="000262A0"/>
    <w:rsid w:val="00026448"/>
    <w:rsid w:val="00026FEC"/>
    <w:rsid w:val="00027255"/>
    <w:rsid w:val="00027FDD"/>
    <w:rsid w:val="00030B5C"/>
    <w:rsid w:val="00031AA4"/>
    <w:rsid w:val="00032B43"/>
    <w:rsid w:val="00035714"/>
    <w:rsid w:val="0003600E"/>
    <w:rsid w:val="000378DD"/>
    <w:rsid w:val="000409F5"/>
    <w:rsid w:val="0004156A"/>
    <w:rsid w:val="00043031"/>
    <w:rsid w:val="00043572"/>
    <w:rsid w:val="000439B3"/>
    <w:rsid w:val="00044749"/>
    <w:rsid w:val="00046FD5"/>
    <w:rsid w:val="000500C6"/>
    <w:rsid w:val="00050ADC"/>
    <w:rsid w:val="00050E9F"/>
    <w:rsid w:val="00050F5A"/>
    <w:rsid w:val="00050FB2"/>
    <w:rsid w:val="00052018"/>
    <w:rsid w:val="000527E0"/>
    <w:rsid w:val="00052EB1"/>
    <w:rsid w:val="00053331"/>
    <w:rsid w:val="00053B36"/>
    <w:rsid w:val="000545A4"/>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665"/>
    <w:rsid w:val="000A1A6E"/>
    <w:rsid w:val="000A1DE5"/>
    <w:rsid w:val="000A27C5"/>
    <w:rsid w:val="000A3115"/>
    <w:rsid w:val="000A32E6"/>
    <w:rsid w:val="000A39D3"/>
    <w:rsid w:val="000A3BAC"/>
    <w:rsid w:val="000A4369"/>
    <w:rsid w:val="000A5EAD"/>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1682"/>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426"/>
    <w:rsid w:val="000D4CB7"/>
    <w:rsid w:val="000D4FFF"/>
    <w:rsid w:val="000D5EA4"/>
    <w:rsid w:val="000D61C7"/>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A22"/>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6A56"/>
    <w:rsid w:val="00147CC0"/>
    <w:rsid w:val="001505ED"/>
    <w:rsid w:val="00150669"/>
    <w:rsid w:val="001506D1"/>
    <w:rsid w:val="00150845"/>
    <w:rsid w:val="001509CD"/>
    <w:rsid w:val="00150C8B"/>
    <w:rsid w:val="001512C4"/>
    <w:rsid w:val="00151FDD"/>
    <w:rsid w:val="001531FD"/>
    <w:rsid w:val="001538E3"/>
    <w:rsid w:val="00155276"/>
    <w:rsid w:val="00155EAE"/>
    <w:rsid w:val="00155F83"/>
    <w:rsid w:val="001567D4"/>
    <w:rsid w:val="0015695B"/>
    <w:rsid w:val="00156BFE"/>
    <w:rsid w:val="0015705E"/>
    <w:rsid w:val="00157CF5"/>
    <w:rsid w:val="001601DC"/>
    <w:rsid w:val="00160308"/>
    <w:rsid w:val="00161244"/>
    <w:rsid w:val="00162DCE"/>
    <w:rsid w:val="00163384"/>
    <w:rsid w:val="001636FA"/>
    <w:rsid w:val="001637B3"/>
    <w:rsid w:val="0016394B"/>
    <w:rsid w:val="00163B98"/>
    <w:rsid w:val="00163F76"/>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524"/>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D0C56"/>
    <w:rsid w:val="001D0C5E"/>
    <w:rsid w:val="001D1606"/>
    <w:rsid w:val="001D20BC"/>
    <w:rsid w:val="001D269D"/>
    <w:rsid w:val="001D2CC0"/>
    <w:rsid w:val="001D32FE"/>
    <w:rsid w:val="001D345F"/>
    <w:rsid w:val="001D3982"/>
    <w:rsid w:val="001D4498"/>
    <w:rsid w:val="001D4949"/>
    <w:rsid w:val="001D4BDE"/>
    <w:rsid w:val="001D510C"/>
    <w:rsid w:val="001D58B6"/>
    <w:rsid w:val="001D5C98"/>
    <w:rsid w:val="001D64C4"/>
    <w:rsid w:val="001D659C"/>
    <w:rsid w:val="001D669F"/>
    <w:rsid w:val="001D6A45"/>
    <w:rsid w:val="001D6B0C"/>
    <w:rsid w:val="001D7AA1"/>
    <w:rsid w:val="001E049F"/>
    <w:rsid w:val="001E0FD2"/>
    <w:rsid w:val="001E127C"/>
    <w:rsid w:val="001E1BBE"/>
    <w:rsid w:val="001E24E2"/>
    <w:rsid w:val="001E28C7"/>
    <w:rsid w:val="001E2AB5"/>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636"/>
    <w:rsid w:val="00244713"/>
    <w:rsid w:val="00244EE6"/>
    <w:rsid w:val="00247054"/>
    <w:rsid w:val="002509F9"/>
    <w:rsid w:val="002515BE"/>
    <w:rsid w:val="00252278"/>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53D1"/>
    <w:rsid w:val="002B667E"/>
    <w:rsid w:val="002B6C77"/>
    <w:rsid w:val="002C0B09"/>
    <w:rsid w:val="002C2303"/>
    <w:rsid w:val="002C2ACB"/>
    <w:rsid w:val="002C2C70"/>
    <w:rsid w:val="002C3247"/>
    <w:rsid w:val="002C64C5"/>
    <w:rsid w:val="002C71B6"/>
    <w:rsid w:val="002C71C4"/>
    <w:rsid w:val="002C73CB"/>
    <w:rsid w:val="002C7F6E"/>
    <w:rsid w:val="002D051D"/>
    <w:rsid w:val="002D0A7C"/>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58B7"/>
    <w:rsid w:val="00307B30"/>
    <w:rsid w:val="00307E5A"/>
    <w:rsid w:val="003112FB"/>
    <w:rsid w:val="00311C66"/>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F98"/>
    <w:rsid w:val="00345811"/>
    <w:rsid w:val="00346668"/>
    <w:rsid w:val="00346AA2"/>
    <w:rsid w:val="00347303"/>
    <w:rsid w:val="00347651"/>
    <w:rsid w:val="00347B4B"/>
    <w:rsid w:val="00350ACE"/>
    <w:rsid w:val="003512E9"/>
    <w:rsid w:val="00351E70"/>
    <w:rsid w:val="00351E78"/>
    <w:rsid w:val="0035248C"/>
    <w:rsid w:val="003527E7"/>
    <w:rsid w:val="00352834"/>
    <w:rsid w:val="003536BC"/>
    <w:rsid w:val="00353A3B"/>
    <w:rsid w:val="00353F65"/>
    <w:rsid w:val="003546C8"/>
    <w:rsid w:val="003556A8"/>
    <w:rsid w:val="00355D2D"/>
    <w:rsid w:val="00356117"/>
    <w:rsid w:val="003565D7"/>
    <w:rsid w:val="00356BAA"/>
    <w:rsid w:val="0035783E"/>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445A"/>
    <w:rsid w:val="003956FF"/>
    <w:rsid w:val="0039570A"/>
    <w:rsid w:val="003961EB"/>
    <w:rsid w:val="00396840"/>
    <w:rsid w:val="0039746E"/>
    <w:rsid w:val="0039754D"/>
    <w:rsid w:val="003A0912"/>
    <w:rsid w:val="003A23B1"/>
    <w:rsid w:val="003A28EF"/>
    <w:rsid w:val="003A2E1C"/>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0810"/>
    <w:rsid w:val="003D2787"/>
    <w:rsid w:val="003D27FF"/>
    <w:rsid w:val="003D2AA6"/>
    <w:rsid w:val="003D32FD"/>
    <w:rsid w:val="003D4E8C"/>
    <w:rsid w:val="003D5264"/>
    <w:rsid w:val="003D56B9"/>
    <w:rsid w:val="003D57AA"/>
    <w:rsid w:val="003D5AED"/>
    <w:rsid w:val="003D5B1E"/>
    <w:rsid w:val="003D5C48"/>
    <w:rsid w:val="003D6E2E"/>
    <w:rsid w:val="003D7A46"/>
    <w:rsid w:val="003E09AD"/>
    <w:rsid w:val="003E0DB4"/>
    <w:rsid w:val="003E163A"/>
    <w:rsid w:val="003E1E2B"/>
    <w:rsid w:val="003E320B"/>
    <w:rsid w:val="003E32DC"/>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56F3"/>
    <w:rsid w:val="0041648D"/>
    <w:rsid w:val="004167E4"/>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27D45"/>
    <w:rsid w:val="00430A5A"/>
    <w:rsid w:val="00430EA2"/>
    <w:rsid w:val="00431961"/>
    <w:rsid w:val="004327D3"/>
    <w:rsid w:val="00432940"/>
    <w:rsid w:val="00433E0E"/>
    <w:rsid w:val="00433EE8"/>
    <w:rsid w:val="00434C61"/>
    <w:rsid w:val="00435DA0"/>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21D8"/>
    <w:rsid w:val="00463100"/>
    <w:rsid w:val="00463F35"/>
    <w:rsid w:val="00463FE3"/>
    <w:rsid w:val="0046675C"/>
    <w:rsid w:val="00466E96"/>
    <w:rsid w:val="004705E3"/>
    <w:rsid w:val="00470D82"/>
    <w:rsid w:val="004712B0"/>
    <w:rsid w:val="00471B00"/>
    <w:rsid w:val="00472F2C"/>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3A"/>
    <w:rsid w:val="00497C94"/>
    <w:rsid w:val="004A02D6"/>
    <w:rsid w:val="004A045B"/>
    <w:rsid w:val="004A1574"/>
    <w:rsid w:val="004A255E"/>
    <w:rsid w:val="004A5B9E"/>
    <w:rsid w:val="004B0832"/>
    <w:rsid w:val="004B0B77"/>
    <w:rsid w:val="004B21A7"/>
    <w:rsid w:val="004B28A9"/>
    <w:rsid w:val="004B4079"/>
    <w:rsid w:val="004B4371"/>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8A8"/>
    <w:rsid w:val="004D2D0D"/>
    <w:rsid w:val="004D35DF"/>
    <w:rsid w:val="004D4469"/>
    <w:rsid w:val="004D5022"/>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860"/>
    <w:rsid w:val="004E49F7"/>
    <w:rsid w:val="004E4BC1"/>
    <w:rsid w:val="004E52FC"/>
    <w:rsid w:val="004E5441"/>
    <w:rsid w:val="004E5C2E"/>
    <w:rsid w:val="004E60A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88E"/>
    <w:rsid w:val="00501DB4"/>
    <w:rsid w:val="00501E55"/>
    <w:rsid w:val="00502D4D"/>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65A6"/>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132D"/>
    <w:rsid w:val="005C275A"/>
    <w:rsid w:val="005C27D6"/>
    <w:rsid w:val="005C2CA1"/>
    <w:rsid w:val="005C3A0B"/>
    <w:rsid w:val="005C3C5E"/>
    <w:rsid w:val="005C41E5"/>
    <w:rsid w:val="005C5734"/>
    <w:rsid w:val="005C5C66"/>
    <w:rsid w:val="005C5CB7"/>
    <w:rsid w:val="005C5F6D"/>
    <w:rsid w:val="005C5F92"/>
    <w:rsid w:val="005C758A"/>
    <w:rsid w:val="005C7834"/>
    <w:rsid w:val="005C7E96"/>
    <w:rsid w:val="005D21EF"/>
    <w:rsid w:val="005D2791"/>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988"/>
    <w:rsid w:val="005E5CBF"/>
    <w:rsid w:val="005E6171"/>
    <w:rsid w:val="005E6848"/>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55B9"/>
    <w:rsid w:val="00675CF8"/>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37DE"/>
    <w:rsid w:val="00683A55"/>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52C8"/>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96E"/>
    <w:rsid w:val="00700582"/>
    <w:rsid w:val="0070149A"/>
    <w:rsid w:val="00701632"/>
    <w:rsid w:val="00701F91"/>
    <w:rsid w:val="007023A6"/>
    <w:rsid w:val="00702D0B"/>
    <w:rsid w:val="007037F4"/>
    <w:rsid w:val="00704467"/>
    <w:rsid w:val="0070468A"/>
    <w:rsid w:val="00705025"/>
    <w:rsid w:val="00705480"/>
    <w:rsid w:val="00707947"/>
    <w:rsid w:val="00707D9B"/>
    <w:rsid w:val="00710D37"/>
    <w:rsid w:val="0071137A"/>
    <w:rsid w:val="007121AF"/>
    <w:rsid w:val="00712AED"/>
    <w:rsid w:val="0071352C"/>
    <w:rsid w:val="00713626"/>
    <w:rsid w:val="00713BBE"/>
    <w:rsid w:val="00715E03"/>
    <w:rsid w:val="00716201"/>
    <w:rsid w:val="00716410"/>
    <w:rsid w:val="00716902"/>
    <w:rsid w:val="00716D9F"/>
    <w:rsid w:val="00717735"/>
    <w:rsid w:val="007177CD"/>
    <w:rsid w:val="00717A02"/>
    <w:rsid w:val="00717C74"/>
    <w:rsid w:val="00717C89"/>
    <w:rsid w:val="0072107A"/>
    <w:rsid w:val="007210AE"/>
    <w:rsid w:val="0072157B"/>
    <w:rsid w:val="00721C6B"/>
    <w:rsid w:val="00722199"/>
    <w:rsid w:val="00722D5E"/>
    <w:rsid w:val="00724118"/>
    <w:rsid w:val="007249C7"/>
    <w:rsid w:val="00724E4E"/>
    <w:rsid w:val="007268C0"/>
    <w:rsid w:val="00726D26"/>
    <w:rsid w:val="00730215"/>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208A"/>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385B"/>
    <w:rsid w:val="007B432D"/>
    <w:rsid w:val="007B4A1F"/>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BFB"/>
    <w:rsid w:val="00813DEE"/>
    <w:rsid w:val="00813FC9"/>
    <w:rsid w:val="008142E0"/>
    <w:rsid w:val="00814E1E"/>
    <w:rsid w:val="008151E6"/>
    <w:rsid w:val="008172E7"/>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A0D"/>
    <w:rsid w:val="00846BC2"/>
    <w:rsid w:val="00846DB7"/>
    <w:rsid w:val="00847E3C"/>
    <w:rsid w:val="008505C5"/>
    <w:rsid w:val="00850CED"/>
    <w:rsid w:val="00851408"/>
    <w:rsid w:val="00853B08"/>
    <w:rsid w:val="00854402"/>
    <w:rsid w:val="008558AC"/>
    <w:rsid w:val="00856C5C"/>
    <w:rsid w:val="00856DD4"/>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9A4"/>
    <w:rsid w:val="00885E2B"/>
    <w:rsid w:val="0088642B"/>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1554"/>
    <w:rsid w:val="008E2164"/>
    <w:rsid w:val="008E2200"/>
    <w:rsid w:val="008E336E"/>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624C"/>
    <w:rsid w:val="008F721F"/>
    <w:rsid w:val="00900761"/>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D00"/>
    <w:rsid w:val="00914993"/>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DC1"/>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7172"/>
    <w:rsid w:val="00977CF2"/>
    <w:rsid w:val="0098109A"/>
    <w:rsid w:val="009810A1"/>
    <w:rsid w:val="009819EE"/>
    <w:rsid w:val="0098255D"/>
    <w:rsid w:val="00982A52"/>
    <w:rsid w:val="00982CC1"/>
    <w:rsid w:val="009836AD"/>
    <w:rsid w:val="0098382B"/>
    <w:rsid w:val="009841F1"/>
    <w:rsid w:val="00984256"/>
    <w:rsid w:val="00984C79"/>
    <w:rsid w:val="009860DD"/>
    <w:rsid w:val="00986204"/>
    <w:rsid w:val="00986A6F"/>
    <w:rsid w:val="00987F6A"/>
    <w:rsid w:val="00990018"/>
    <w:rsid w:val="00990266"/>
    <w:rsid w:val="00990D5B"/>
    <w:rsid w:val="009911A7"/>
    <w:rsid w:val="009923AD"/>
    <w:rsid w:val="009926B5"/>
    <w:rsid w:val="00992BDA"/>
    <w:rsid w:val="009930ED"/>
    <w:rsid w:val="00993FFD"/>
    <w:rsid w:val="00995104"/>
    <w:rsid w:val="00997451"/>
    <w:rsid w:val="00997E91"/>
    <w:rsid w:val="00997FCE"/>
    <w:rsid w:val="009A23AA"/>
    <w:rsid w:val="009A276F"/>
    <w:rsid w:val="009A3253"/>
    <w:rsid w:val="009A3ADC"/>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246"/>
    <w:rsid w:val="009D39D3"/>
    <w:rsid w:val="009D3DB2"/>
    <w:rsid w:val="009D41AE"/>
    <w:rsid w:val="009D4CED"/>
    <w:rsid w:val="009D4FA7"/>
    <w:rsid w:val="009D584D"/>
    <w:rsid w:val="009D68FA"/>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79B9"/>
    <w:rsid w:val="00A40A48"/>
    <w:rsid w:val="00A41236"/>
    <w:rsid w:val="00A41D16"/>
    <w:rsid w:val="00A42C33"/>
    <w:rsid w:val="00A4303A"/>
    <w:rsid w:val="00A43534"/>
    <w:rsid w:val="00A435CB"/>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875"/>
    <w:rsid w:val="00AC2E98"/>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20659"/>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394E"/>
    <w:rsid w:val="00B357D4"/>
    <w:rsid w:val="00B36D64"/>
    <w:rsid w:val="00B37254"/>
    <w:rsid w:val="00B3776E"/>
    <w:rsid w:val="00B37DA8"/>
    <w:rsid w:val="00B40A18"/>
    <w:rsid w:val="00B41B00"/>
    <w:rsid w:val="00B420DC"/>
    <w:rsid w:val="00B42F3A"/>
    <w:rsid w:val="00B44D85"/>
    <w:rsid w:val="00B4540A"/>
    <w:rsid w:val="00B45BAA"/>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767F"/>
    <w:rsid w:val="00B77E61"/>
    <w:rsid w:val="00B80244"/>
    <w:rsid w:val="00B805FF"/>
    <w:rsid w:val="00B81380"/>
    <w:rsid w:val="00B8240B"/>
    <w:rsid w:val="00B82A98"/>
    <w:rsid w:val="00B83F6F"/>
    <w:rsid w:val="00B84463"/>
    <w:rsid w:val="00B84E51"/>
    <w:rsid w:val="00B85505"/>
    <w:rsid w:val="00B85A4F"/>
    <w:rsid w:val="00B8680C"/>
    <w:rsid w:val="00B86EB3"/>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0DA2"/>
    <w:rsid w:val="00BB14D6"/>
    <w:rsid w:val="00BB1A58"/>
    <w:rsid w:val="00BB20A7"/>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260"/>
    <w:rsid w:val="00BD3726"/>
    <w:rsid w:val="00BD372F"/>
    <w:rsid w:val="00BD3D65"/>
    <w:rsid w:val="00BD3DAA"/>
    <w:rsid w:val="00BD3DEF"/>
    <w:rsid w:val="00BD63B9"/>
    <w:rsid w:val="00BD6BA1"/>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779"/>
    <w:rsid w:val="00C03AEB"/>
    <w:rsid w:val="00C04E71"/>
    <w:rsid w:val="00C05F16"/>
    <w:rsid w:val="00C060DF"/>
    <w:rsid w:val="00C06124"/>
    <w:rsid w:val="00C07227"/>
    <w:rsid w:val="00C077E3"/>
    <w:rsid w:val="00C10017"/>
    <w:rsid w:val="00C116D6"/>
    <w:rsid w:val="00C1184D"/>
    <w:rsid w:val="00C118F8"/>
    <w:rsid w:val="00C1190D"/>
    <w:rsid w:val="00C11AF6"/>
    <w:rsid w:val="00C127DA"/>
    <w:rsid w:val="00C14477"/>
    <w:rsid w:val="00C152A2"/>
    <w:rsid w:val="00C15ED5"/>
    <w:rsid w:val="00C15F3D"/>
    <w:rsid w:val="00C16A6D"/>
    <w:rsid w:val="00C16D38"/>
    <w:rsid w:val="00C17591"/>
    <w:rsid w:val="00C2013E"/>
    <w:rsid w:val="00C2077A"/>
    <w:rsid w:val="00C20BBC"/>
    <w:rsid w:val="00C21B7E"/>
    <w:rsid w:val="00C2211B"/>
    <w:rsid w:val="00C231C8"/>
    <w:rsid w:val="00C23298"/>
    <w:rsid w:val="00C239EF"/>
    <w:rsid w:val="00C2436A"/>
    <w:rsid w:val="00C259E7"/>
    <w:rsid w:val="00C26376"/>
    <w:rsid w:val="00C26621"/>
    <w:rsid w:val="00C269BA"/>
    <w:rsid w:val="00C271A1"/>
    <w:rsid w:val="00C27CCD"/>
    <w:rsid w:val="00C313BE"/>
    <w:rsid w:val="00C31CA4"/>
    <w:rsid w:val="00C338C0"/>
    <w:rsid w:val="00C34ADE"/>
    <w:rsid w:val="00C34E4B"/>
    <w:rsid w:val="00C352FE"/>
    <w:rsid w:val="00C35B38"/>
    <w:rsid w:val="00C360CF"/>
    <w:rsid w:val="00C3642F"/>
    <w:rsid w:val="00C36762"/>
    <w:rsid w:val="00C3686A"/>
    <w:rsid w:val="00C368DF"/>
    <w:rsid w:val="00C36AAE"/>
    <w:rsid w:val="00C36CE2"/>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21A"/>
    <w:rsid w:val="00CD17FC"/>
    <w:rsid w:val="00CD1EA0"/>
    <w:rsid w:val="00CD26FB"/>
    <w:rsid w:val="00CD2C31"/>
    <w:rsid w:val="00CD3075"/>
    <w:rsid w:val="00CD3664"/>
    <w:rsid w:val="00CD49B0"/>
    <w:rsid w:val="00CD5C7D"/>
    <w:rsid w:val="00CD698E"/>
    <w:rsid w:val="00CE0A85"/>
    <w:rsid w:val="00CE1530"/>
    <w:rsid w:val="00CE1D02"/>
    <w:rsid w:val="00CE2A06"/>
    <w:rsid w:val="00CE30D1"/>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CF7A4E"/>
    <w:rsid w:val="00D0046D"/>
    <w:rsid w:val="00D00523"/>
    <w:rsid w:val="00D007FD"/>
    <w:rsid w:val="00D00DD5"/>
    <w:rsid w:val="00D01CD5"/>
    <w:rsid w:val="00D03012"/>
    <w:rsid w:val="00D0313B"/>
    <w:rsid w:val="00D0446A"/>
    <w:rsid w:val="00D04A58"/>
    <w:rsid w:val="00D06789"/>
    <w:rsid w:val="00D06857"/>
    <w:rsid w:val="00D100B4"/>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40E9"/>
    <w:rsid w:val="00D25188"/>
    <w:rsid w:val="00D25E2B"/>
    <w:rsid w:val="00D26F70"/>
    <w:rsid w:val="00D27270"/>
    <w:rsid w:val="00D27F01"/>
    <w:rsid w:val="00D3042C"/>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F73"/>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E004E"/>
    <w:rsid w:val="00DE0267"/>
    <w:rsid w:val="00DE0718"/>
    <w:rsid w:val="00DE1C68"/>
    <w:rsid w:val="00DE1FAF"/>
    <w:rsid w:val="00DE237E"/>
    <w:rsid w:val="00DE2F3B"/>
    <w:rsid w:val="00DE391C"/>
    <w:rsid w:val="00DE3D05"/>
    <w:rsid w:val="00DE427E"/>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2E8A"/>
    <w:rsid w:val="00E134F2"/>
    <w:rsid w:val="00E1503E"/>
    <w:rsid w:val="00E15156"/>
    <w:rsid w:val="00E15D2E"/>
    <w:rsid w:val="00E16333"/>
    <w:rsid w:val="00E16D54"/>
    <w:rsid w:val="00E1769D"/>
    <w:rsid w:val="00E17AA7"/>
    <w:rsid w:val="00E17DE7"/>
    <w:rsid w:val="00E20A48"/>
    <w:rsid w:val="00E20CF8"/>
    <w:rsid w:val="00E21CA3"/>
    <w:rsid w:val="00E2370F"/>
    <w:rsid w:val="00E23C0A"/>
    <w:rsid w:val="00E23D77"/>
    <w:rsid w:val="00E23F19"/>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D48"/>
    <w:rsid w:val="00E41FC4"/>
    <w:rsid w:val="00E4389F"/>
    <w:rsid w:val="00E44CB5"/>
    <w:rsid w:val="00E45AC6"/>
    <w:rsid w:val="00E46137"/>
    <w:rsid w:val="00E467E2"/>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FD3"/>
    <w:rsid w:val="00E81413"/>
    <w:rsid w:val="00E81ACC"/>
    <w:rsid w:val="00E823F8"/>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8FF"/>
    <w:rsid w:val="00EA49B0"/>
    <w:rsid w:val="00EA5269"/>
    <w:rsid w:val="00EA61CE"/>
    <w:rsid w:val="00EA64D6"/>
    <w:rsid w:val="00EA6A07"/>
    <w:rsid w:val="00EA7E62"/>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19C2"/>
    <w:rsid w:val="00EC3232"/>
    <w:rsid w:val="00EC3832"/>
    <w:rsid w:val="00EC4537"/>
    <w:rsid w:val="00EC4BCA"/>
    <w:rsid w:val="00EC5AE0"/>
    <w:rsid w:val="00EC60FC"/>
    <w:rsid w:val="00EC631B"/>
    <w:rsid w:val="00ED07CF"/>
    <w:rsid w:val="00ED0A7A"/>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A0"/>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2C56"/>
    <w:rsid w:val="00F13025"/>
    <w:rsid w:val="00F13741"/>
    <w:rsid w:val="00F14210"/>
    <w:rsid w:val="00F15504"/>
    <w:rsid w:val="00F166B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2DB"/>
    <w:rsid w:val="00F61CBC"/>
    <w:rsid w:val="00F61E35"/>
    <w:rsid w:val="00F62569"/>
    <w:rsid w:val="00F62E1C"/>
    <w:rsid w:val="00F62F8E"/>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4F05"/>
    <w:rsid w:val="00F76343"/>
    <w:rsid w:val="00F76371"/>
    <w:rsid w:val="00F76C9C"/>
    <w:rsid w:val="00F7734D"/>
    <w:rsid w:val="00F776AE"/>
    <w:rsid w:val="00F807A0"/>
    <w:rsid w:val="00F81481"/>
    <w:rsid w:val="00F819A5"/>
    <w:rsid w:val="00F81F2A"/>
    <w:rsid w:val="00F82859"/>
    <w:rsid w:val="00F833F5"/>
    <w:rsid w:val="00F8375B"/>
    <w:rsid w:val="00F83DA5"/>
    <w:rsid w:val="00F83EF7"/>
    <w:rsid w:val="00F8497D"/>
    <w:rsid w:val="00F84D20"/>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501E55"/>
    <w:rPr>
      <w:rFonts w:ascii="Cambria" w:eastAsia="宋体" w:hAnsi="Cambria" w:cs="Times New Roman"/>
      <w:b/>
      <w:bCs/>
      <w:sz w:val="32"/>
      <w:szCs w:val="32"/>
    </w:rPr>
  </w:style>
  <w:style w:type="character" w:customStyle="1" w:styleId="CharChar">
    <w:name w:val="Char Char"/>
    <w:uiPriority w:val="99"/>
    <w:rsid w:val="00CD121A"/>
    <w:rPr>
      <w:rFonts w:ascii="宋体" w:eastAsia="宋体" w:hAnsi="Courier New"/>
      <w:kern w:val="2"/>
      <w:sz w:val="21"/>
      <w:lang w:val="en-US" w:eastAsia="zh-CN"/>
    </w:rPr>
  </w:style>
  <w:style w:type="character" w:customStyle="1" w:styleId="2Char">
    <w:name w:val="样式2 Char"/>
    <w:link w:val="2"/>
    <w:uiPriority w:val="99"/>
    <w:locked/>
    <w:rsid w:val="00CD121A"/>
    <w:rPr>
      <w:rFonts w:ascii="楷体_GB2312" w:eastAsia="楷体_GB2312" w:hAnsi="Courier New"/>
      <w:kern w:val="2"/>
      <w:sz w:val="32"/>
      <w:lang w:val="en-US" w:eastAsia="zh-CN"/>
    </w:rPr>
  </w:style>
  <w:style w:type="character" w:customStyle="1" w:styleId="BodyTextChar1">
    <w:name w:val="Body Text Char1"/>
    <w:uiPriority w:val="99"/>
    <w:locked/>
    <w:rsid w:val="00CD121A"/>
    <w:rPr>
      <w:rFonts w:eastAsia="华文中宋"/>
      <w:kern w:val="2"/>
      <w:sz w:val="24"/>
      <w:lang w:val="en-US" w:eastAsia="zh-CN"/>
    </w:rPr>
  </w:style>
  <w:style w:type="character" w:customStyle="1" w:styleId="CharChar2">
    <w:name w:val="Char Char2"/>
    <w:uiPriority w:val="99"/>
    <w:rsid w:val="00CD121A"/>
    <w:rPr>
      <w:rFonts w:ascii="黑体" w:eastAsia="黑体"/>
      <w:sz w:val="24"/>
      <w:lang w:val="en-US" w:eastAsia="zh-CN"/>
    </w:rPr>
  </w:style>
  <w:style w:type="character" w:customStyle="1" w:styleId="apple-converted-space">
    <w:name w:val="apple-converted-space"/>
    <w:basedOn w:val="DefaultParagraphFont"/>
    <w:uiPriority w:val="99"/>
    <w:rsid w:val="00CD121A"/>
    <w:rPr>
      <w:rFonts w:cs="Times New Roman"/>
    </w:rPr>
  </w:style>
  <w:style w:type="character" w:styleId="PageNumber">
    <w:name w:val="page number"/>
    <w:basedOn w:val="DefaultParagraphFont"/>
    <w:uiPriority w:val="99"/>
    <w:rsid w:val="00CD121A"/>
    <w:rPr>
      <w:rFonts w:cs="Times New Roman"/>
    </w:rPr>
  </w:style>
  <w:style w:type="character" w:customStyle="1" w:styleId="1CharChar">
    <w:name w:val="样式1 Char Char"/>
    <w:link w:val="1"/>
    <w:uiPriority w:val="99"/>
    <w:locked/>
    <w:rsid w:val="00CD121A"/>
    <w:rPr>
      <w:rFonts w:ascii="黑体" w:eastAsia="黑体" w:hAnsi="Courier New"/>
      <w:kern w:val="2"/>
      <w:sz w:val="32"/>
      <w:lang w:val="en-US" w:eastAsia="zh-CN"/>
    </w:rPr>
  </w:style>
  <w:style w:type="character" w:customStyle="1" w:styleId="ca-11">
    <w:name w:val="ca-11"/>
    <w:uiPriority w:val="99"/>
    <w:rsid w:val="00CD121A"/>
    <w:rPr>
      <w:rFonts w:ascii="??" w:eastAsia="Times New Roman"/>
      <w:b/>
      <w:color w:val="000000"/>
      <w:spacing w:val="-20"/>
      <w:sz w:val="44"/>
    </w:rPr>
  </w:style>
  <w:style w:type="character" w:customStyle="1" w:styleId="TitleChar1">
    <w:name w:val="Title Char1"/>
    <w:uiPriority w:val="99"/>
    <w:locked/>
    <w:rsid w:val="00CD121A"/>
    <w:rPr>
      <w:rFonts w:ascii="Cambria" w:eastAsia="宋体" w:hAnsi="Cambria"/>
      <w:b/>
      <w:sz w:val="32"/>
    </w:rPr>
  </w:style>
  <w:style w:type="character" w:styleId="Strong">
    <w:name w:val="Strong"/>
    <w:basedOn w:val="DefaultParagraphFont"/>
    <w:uiPriority w:val="99"/>
    <w:qFormat/>
    <w:rsid w:val="00CD121A"/>
    <w:rPr>
      <w:rFonts w:eastAsia="仿宋_GB2312" w:cs="Times New Roman"/>
      <w:sz w:val="32"/>
    </w:rPr>
  </w:style>
  <w:style w:type="character" w:customStyle="1" w:styleId="1Char">
    <w:name w:val="样式1 Char"/>
    <w:uiPriority w:val="99"/>
    <w:rsid w:val="00CD121A"/>
    <w:rPr>
      <w:rFonts w:ascii="黑体" w:eastAsia="黑体" w:hAnsi="Courier New"/>
      <w:kern w:val="2"/>
      <w:sz w:val="32"/>
      <w:lang w:val="en-US" w:eastAsia="zh-CN"/>
    </w:rPr>
  </w:style>
  <w:style w:type="character" w:styleId="Hyperlink">
    <w:name w:val="Hyperlink"/>
    <w:basedOn w:val="DefaultParagraphFont"/>
    <w:uiPriority w:val="99"/>
    <w:rsid w:val="00CD121A"/>
    <w:rPr>
      <w:rFonts w:cs="Times New Roman"/>
      <w:color w:val="0000FF"/>
      <w:u w:val="single"/>
    </w:rPr>
  </w:style>
  <w:style w:type="character" w:customStyle="1" w:styleId="Char">
    <w:name w:val="纯文本 Char"/>
    <w:uiPriority w:val="99"/>
    <w:rsid w:val="00CD121A"/>
    <w:rPr>
      <w:rFonts w:ascii="宋体" w:eastAsia="宋体" w:hAnsi="Courier New"/>
      <w:kern w:val="2"/>
      <w:sz w:val="21"/>
      <w:lang w:val="en-US" w:eastAsia="zh-CN"/>
    </w:rPr>
  </w:style>
  <w:style w:type="character" w:customStyle="1" w:styleId="ca-41">
    <w:name w:val="ca-41"/>
    <w:uiPriority w:val="99"/>
    <w:rsid w:val="00CD121A"/>
    <w:rPr>
      <w:rFonts w:ascii="??_GB2312" w:eastAsia="Times New Roman"/>
      <w:color w:val="000000"/>
      <w:sz w:val="32"/>
    </w:rPr>
  </w:style>
  <w:style w:type="character" w:customStyle="1" w:styleId="a">
    <w:name w:val="纯文本 字符"/>
    <w:uiPriority w:val="99"/>
    <w:rsid w:val="00CD121A"/>
    <w:rPr>
      <w:rFonts w:ascii="宋体" w:eastAsia="宋体" w:hAnsi="Courier New"/>
      <w:kern w:val="2"/>
      <w:sz w:val="21"/>
      <w:lang w:val="en-US" w:eastAsia="zh-CN"/>
    </w:rPr>
  </w:style>
  <w:style w:type="character" w:customStyle="1" w:styleId="BalloonTextChar1">
    <w:name w:val="Balloon Text Char1"/>
    <w:uiPriority w:val="99"/>
    <w:locked/>
    <w:rsid w:val="00CD121A"/>
    <w:rPr>
      <w:kern w:val="2"/>
      <w:sz w:val="18"/>
    </w:rPr>
  </w:style>
  <w:style w:type="character" w:customStyle="1" w:styleId="PlainTextChar1">
    <w:name w:val="Plain Text Char1"/>
    <w:uiPriority w:val="99"/>
    <w:locked/>
    <w:rsid w:val="00CD121A"/>
    <w:rPr>
      <w:rFonts w:ascii="宋体" w:eastAsia="宋体" w:hAnsi="Courier New"/>
      <w:kern w:val="2"/>
      <w:sz w:val="21"/>
      <w:lang w:val="en-US" w:eastAsia="zh-CN"/>
    </w:rPr>
  </w:style>
  <w:style w:type="character" w:customStyle="1" w:styleId="ca-01">
    <w:name w:val="ca-01"/>
    <w:uiPriority w:val="99"/>
    <w:rsid w:val="00CD121A"/>
    <w:rPr>
      <w:rFonts w:ascii="Times New Roman"/>
      <w:b/>
      <w:color w:val="000000"/>
      <w:spacing w:val="-20"/>
      <w:sz w:val="44"/>
    </w:rPr>
  </w:style>
  <w:style w:type="paragraph" w:customStyle="1" w:styleId="content-parag">
    <w:name w:val="content-parag"/>
    <w:basedOn w:val="Normal"/>
    <w:uiPriority w:val="99"/>
    <w:rsid w:val="00CD121A"/>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CD121A"/>
    <w:pPr>
      <w:ind w:firstLineChars="0" w:firstLine="0"/>
      <w:jc w:val="center"/>
    </w:pPr>
  </w:style>
  <w:style w:type="paragraph" w:customStyle="1" w:styleId="a0">
    <w:name w:val="列出段落"/>
    <w:basedOn w:val="Normal"/>
    <w:uiPriority w:val="99"/>
    <w:rsid w:val="00CD121A"/>
    <w:pPr>
      <w:ind w:firstLineChars="200" w:firstLine="420"/>
    </w:pPr>
  </w:style>
  <w:style w:type="paragraph" w:customStyle="1" w:styleId="reader-word-layerreader-word-s1-2">
    <w:name w:val="reader-word-layer reader-word-s1-2"/>
    <w:basedOn w:val="Normal"/>
    <w:uiPriority w:val="99"/>
    <w:rsid w:val="00CD121A"/>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CD121A"/>
    <w:pPr>
      <w:spacing w:after="120" w:line="480" w:lineRule="auto"/>
    </w:pPr>
  </w:style>
  <w:style w:type="character" w:customStyle="1" w:styleId="BodyText2Char">
    <w:name w:val="Body Text 2 Char"/>
    <w:basedOn w:val="DefaultParagraphFont"/>
    <w:link w:val="BodyText2"/>
    <w:uiPriority w:val="99"/>
    <w:semiHidden/>
    <w:locked/>
    <w:rsid w:val="00501E55"/>
    <w:rPr>
      <w:rFonts w:cs="Times New Roman"/>
      <w:sz w:val="24"/>
      <w:szCs w:val="24"/>
    </w:rPr>
  </w:style>
  <w:style w:type="paragraph" w:styleId="Header">
    <w:name w:val="header"/>
    <w:basedOn w:val="Normal"/>
    <w:link w:val="HeaderChar"/>
    <w:uiPriority w:val="99"/>
    <w:rsid w:val="00CD121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01E55"/>
    <w:rPr>
      <w:rFonts w:cs="Times New Roman"/>
      <w:sz w:val="18"/>
      <w:szCs w:val="18"/>
    </w:rPr>
  </w:style>
  <w:style w:type="paragraph" w:customStyle="1" w:styleId="2">
    <w:name w:val="样式2"/>
    <w:basedOn w:val="PlainText"/>
    <w:link w:val="2Char"/>
    <w:uiPriority w:val="99"/>
    <w:rsid w:val="00CD121A"/>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CD121A"/>
    <w:pPr>
      <w:widowControl w:val="0"/>
      <w:jc w:val="both"/>
    </w:pPr>
    <w:rPr>
      <w:rFonts w:ascii="Calibri" w:hAnsi="Calibri"/>
    </w:rPr>
  </w:style>
  <w:style w:type="paragraph" w:styleId="TOAHeading">
    <w:name w:val="toa heading"/>
    <w:basedOn w:val="Normal"/>
    <w:next w:val="Normal"/>
    <w:uiPriority w:val="99"/>
    <w:rsid w:val="00CD121A"/>
    <w:pPr>
      <w:spacing w:before="120"/>
    </w:pPr>
    <w:rPr>
      <w:rFonts w:ascii="Arial" w:eastAsia="仿宋_GB2312" w:hAnsi="Arial" w:cs="Arial"/>
      <w:sz w:val="24"/>
    </w:rPr>
  </w:style>
  <w:style w:type="paragraph" w:styleId="Footer">
    <w:name w:val="footer"/>
    <w:basedOn w:val="Normal"/>
    <w:link w:val="FooterChar"/>
    <w:uiPriority w:val="99"/>
    <w:rsid w:val="00CD121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01E55"/>
    <w:rPr>
      <w:rFonts w:cs="Times New Roman"/>
      <w:sz w:val="18"/>
      <w:szCs w:val="18"/>
    </w:rPr>
  </w:style>
  <w:style w:type="paragraph" w:customStyle="1" w:styleId="NewNewNewNewNewNewNewNewNew">
    <w:name w:val="正文 New New New New New New New New New"/>
    <w:uiPriority w:val="99"/>
    <w:rsid w:val="00CD121A"/>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CD121A"/>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CD121A"/>
    <w:rPr>
      <w:rFonts w:cs="Times New Roman"/>
      <w:sz w:val="18"/>
      <w:szCs w:val="20"/>
    </w:rPr>
  </w:style>
  <w:style w:type="character" w:customStyle="1" w:styleId="BalloonTextChar">
    <w:name w:val="Balloon Text Char"/>
    <w:basedOn w:val="DefaultParagraphFont"/>
    <w:link w:val="BalloonText"/>
    <w:uiPriority w:val="99"/>
    <w:semiHidden/>
    <w:locked/>
    <w:rsid w:val="00501E55"/>
    <w:rPr>
      <w:rFonts w:cs="Times New Roman"/>
      <w:sz w:val="2"/>
    </w:rPr>
  </w:style>
  <w:style w:type="paragraph" w:customStyle="1" w:styleId="p0">
    <w:name w:val="p0"/>
    <w:basedOn w:val="Normal"/>
    <w:uiPriority w:val="99"/>
    <w:rsid w:val="00CD121A"/>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CD121A"/>
  </w:style>
  <w:style w:type="paragraph" w:customStyle="1" w:styleId="Char0">
    <w:name w:val="Char"/>
    <w:basedOn w:val="Normal"/>
    <w:uiPriority w:val="99"/>
    <w:semiHidden/>
    <w:rsid w:val="00CD121A"/>
  </w:style>
  <w:style w:type="paragraph" w:customStyle="1" w:styleId="Char1">
    <w:name w:val="Char1"/>
    <w:basedOn w:val="Normal"/>
    <w:uiPriority w:val="99"/>
    <w:semiHidden/>
    <w:rsid w:val="00CD121A"/>
  </w:style>
  <w:style w:type="paragraph" w:customStyle="1" w:styleId="4">
    <w:name w:val="样式4"/>
    <w:basedOn w:val="PlainText"/>
    <w:uiPriority w:val="99"/>
    <w:rsid w:val="00CD121A"/>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CD121A"/>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501E55"/>
    <w:rPr>
      <w:rFonts w:ascii="Cambria" w:eastAsia="宋体" w:hAnsi="Cambria" w:cs="Times New Roman"/>
      <w:b/>
      <w:bCs/>
      <w:sz w:val="32"/>
      <w:szCs w:val="32"/>
    </w:rPr>
  </w:style>
  <w:style w:type="paragraph" w:styleId="Date">
    <w:name w:val="Date"/>
    <w:basedOn w:val="Normal"/>
    <w:next w:val="Normal"/>
    <w:link w:val="DateChar"/>
    <w:uiPriority w:val="99"/>
    <w:rsid w:val="00CD121A"/>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501E55"/>
    <w:rPr>
      <w:rFonts w:cs="Times New Roman"/>
      <w:sz w:val="24"/>
      <w:szCs w:val="24"/>
    </w:rPr>
  </w:style>
  <w:style w:type="paragraph" w:customStyle="1" w:styleId="p16">
    <w:name w:val="p16"/>
    <w:basedOn w:val="Normal"/>
    <w:uiPriority w:val="99"/>
    <w:rsid w:val="00CD121A"/>
    <w:pPr>
      <w:widowControl/>
    </w:pPr>
    <w:rPr>
      <w:kern w:val="0"/>
      <w:szCs w:val="21"/>
    </w:rPr>
  </w:style>
  <w:style w:type="paragraph" w:customStyle="1" w:styleId="CharCharChar">
    <w:name w:val="Char Char Char"/>
    <w:basedOn w:val="Normal"/>
    <w:uiPriority w:val="99"/>
    <w:rsid w:val="00CD121A"/>
    <w:rPr>
      <w:rFonts w:eastAsia="仿宋_GB2312"/>
      <w:sz w:val="32"/>
      <w:szCs w:val="20"/>
    </w:rPr>
  </w:style>
  <w:style w:type="paragraph" w:customStyle="1" w:styleId="7">
    <w:name w:val="样式7"/>
    <w:basedOn w:val="Normal"/>
    <w:uiPriority w:val="99"/>
    <w:rsid w:val="00CD121A"/>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CD121A"/>
    <w:rPr>
      <w:rFonts w:ascii="宋体" w:hAnsi="Courier New"/>
      <w:szCs w:val="20"/>
    </w:rPr>
  </w:style>
  <w:style w:type="paragraph" w:customStyle="1" w:styleId="New0">
    <w:name w:val="正文 New"/>
    <w:uiPriority w:val="99"/>
    <w:rsid w:val="00CD121A"/>
    <w:pPr>
      <w:widowControl w:val="0"/>
      <w:jc w:val="both"/>
    </w:pPr>
  </w:style>
  <w:style w:type="paragraph" w:customStyle="1" w:styleId="NoSpacing1">
    <w:name w:val="No Spacing1"/>
    <w:uiPriority w:val="99"/>
    <w:rsid w:val="00CD121A"/>
    <w:pPr>
      <w:widowControl w:val="0"/>
      <w:jc w:val="both"/>
    </w:pPr>
    <w:rPr>
      <w:sz w:val="30"/>
      <w:szCs w:val="30"/>
    </w:rPr>
  </w:style>
  <w:style w:type="paragraph" w:styleId="PlainText">
    <w:name w:val="Plain Text"/>
    <w:basedOn w:val="Normal"/>
    <w:link w:val="PlainTextChar"/>
    <w:uiPriority w:val="99"/>
    <w:rsid w:val="00CD121A"/>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501E55"/>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CD121A"/>
  </w:style>
  <w:style w:type="paragraph" w:customStyle="1" w:styleId="1">
    <w:name w:val="样式1"/>
    <w:basedOn w:val="PlainText"/>
    <w:link w:val="1CharChar"/>
    <w:uiPriority w:val="99"/>
    <w:rsid w:val="00CD121A"/>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CD121A"/>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501E55"/>
    <w:rPr>
      <w:rFonts w:cs="Times New Roman"/>
      <w:sz w:val="24"/>
      <w:szCs w:val="24"/>
    </w:rPr>
  </w:style>
  <w:style w:type="paragraph" w:customStyle="1" w:styleId="NewNewNewNewNewNewNew">
    <w:name w:val="正文 New New New New New New New"/>
    <w:uiPriority w:val="99"/>
    <w:rsid w:val="00CD121A"/>
    <w:pPr>
      <w:widowControl w:val="0"/>
      <w:jc w:val="both"/>
    </w:pPr>
    <w:rPr>
      <w:szCs w:val="24"/>
    </w:rPr>
  </w:style>
  <w:style w:type="paragraph" w:customStyle="1" w:styleId="3">
    <w:name w:val="样式3"/>
    <w:basedOn w:val="Normal"/>
    <w:uiPriority w:val="99"/>
    <w:rsid w:val="00CD121A"/>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CD121A"/>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501E55"/>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CD121A"/>
    <w:pPr>
      <w:widowControl w:val="0"/>
      <w:jc w:val="both"/>
    </w:pPr>
    <w:rPr>
      <w:szCs w:val="24"/>
    </w:rPr>
  </w:style>
  <w:style w:type="paragraph" w:customStyle="1" w:styleId="CharCharCharChar">
    <w:name w:val="Char Char Char Char"/>
    <w:basedOn w:val="Normal"/>
    <w:uiPriority w:val="99"/>
    <w:semiHidden/>
    <w:rsid w:val="00CD121A"/>
  </w:style>
  <w:style w:type="paragraph" w:styleId="NormalWeb">
    <w:name w:val="Normal (Web)"/>
    <w:basedOn w:val="Normal"/>
    <w:uiPriority w:val="99"/>
    <w:rsid w:val="00CD121A"/>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CD121A"/>
    <w:pPr>
      <w:ind w:left="200" w:hangingChars="200" w:hanging="200"/>
    </w:pPr>
  </w:style>
  <w:style w:type="table" w:styleId="TableGrid">
    <w:name w:val="Table Grid"/>
    <w:basedOn w:val="TableNormal"/>
    <w:uiPriority w:val="99"/>
    <w:rsid w:val="00CD121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7</Pages>
  <Words>490</Words>
  <Characters>2796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RDysc</cp:lastModifiedBy>
  <cp:revision>4</cp:revision>
  <cp:lastPrinted>2019-08-15T14:54:00Z</cp:lastPrinted>
  <dcterms:created xsi:type="dcterms:W3CDTF">2019-10-30T01:26:00Z</dcterms:created>
  <dcterms:modified xsi:type="dcterms:W3CDTF">2019-10-30T01:28:00Z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