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6" w:name="_GoBack"/>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云南省南涧彝族自治县</w:t>
      </w:r>
    </w:p>
    <w:p>
      <w:pPr>
        <w:pStyle w:val="16"/>
        <w:rPr>
          <w:rFonts w:hint="default"/>
          <w:lang w:val="en-US" w:eastAsia="zh-CN"/>
        </w:rPr>
      </w:pPr>
      <w:r>
        <w:rPr>
          <w:rFonts w:hint="default"/>
          <w:lang w:val="en-US" w:eastAsia="zh-CN"/>
        </w:rPr>
        <w:t>城乡规划建设管理条例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（2014年1月16日云南省南涧彝族自治县第十一届人民代表大会第二次会议通过  2014年3月28日云南省第十二届人民代表大会常务委员会第八次会议批准）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城乡规划的制定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城乡规划的实施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管理与监督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pStyle w:val="17"/>
        <w:rPr>
          <w:rFonts w:hint="eastAsia"/>
          <w:lang w:val="en-US" w:eastAsia="zh-CN"/>
        </w:rPr>
      </w:pPr>
      <w:bookmarkStart w:id="0" w:name="_Toc1653"/>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为了加强城乡规划和管理，统筹城乡发展，改善人居环境，根据《中华人民共和国城乡规划法》等有关法律法规，结合南涧彝族自治县（以下简称自治县）实际，制定本条例。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本条例所称的规划区，是指自治县行政区域内的县城、乡（镇）和村庄建成区，以及因城乡建设发展需要应当实行规划控制的区域。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在自治县行政区域内活动的单位和个人，应当遵守本条例。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自治县人民政府的城乡规划委员会负责全县城乡规划的决策咨询和重大建设项目报批前的审查等工作。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自治县人民政府的城乡规划建设主管部门负责全县的城乡规划建设管理工作。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乡（镇）人民政府负责本行政区域内的城乡规划建设管理工作。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自治县发展和改革、国土资源、林业、水务、环境保护、交通运输、卫生、工商行政管理、公安、市政园林等部门应当按照各自职责协同做好城乡规划建设管理工作。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自治县人民政府可以根据县城和乡（镇）集镇管理工作需要，设立城市管理综合执法机构，行使本条例赋予的行政执法权。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自治县、乡（镇）人民政府应当将城乡规划建设管理纳入国民经济和社会发展规划，所需经费列入本级财政预算。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1" w:name="_Toc20665"/>
      <w:r>
        <w:rPr>
          <w:rFonts w:hint="default"/>
          <w:lang w:val="en-US" w:eastAsia="zh-CN"/>
        </w:rPr>
        <w:t>第二章  城乡规划的制定</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城乡规划应当符合自治县经济社会发展需要，按照保护耕地、山坝结合、生态安全、合理布局的原则，注重生态效益、经济效益、社会效益协调统一。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城乡规划应当与土地利用总体规划、林地保护利用规划相衔接，并结合当地的自然条件、历史文化、民族文化，在建筑风格、景观设计上保持传统风貌，突出地方特点和民族特色。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自治县县城总体规划，由自治县人民政府组织编制，经自治县人民代表大会常务委员会审议通过后，报自治州人民政府批准。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行政村总体规划由乡（镇）人民政府组织编制，经乡（镇）人民代表大会审议通过后，报自治县人民政府批准；自然村建设规划由乡（镇）人民政府组织编制，经村民会议或者村民代表会议讨论通过后，由乡（镇）人民政府批准，并报自治县人民政府城乡规划建设主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经批准的城乡规划未经法定程序不得修改。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县城的控制性详细规划，自治县人民政府在批准前，应当征求自治县人民代表大会常务委员会的意见，批准后报自治县人民代表大会常务委员会备案。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经批准的控制性详细规划，任何单位和个人不得擅自变更或者修改。有下列情形之一的，可以对控制性详细规划进行修改，但应当按照原审批程序报批：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（一）城乡布局和功能发生重大变化或者总体规划修编的；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（二）公共基础设施和服务设施难以满足城镇发展需要的；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（三）因实施国家、省、州重点工程建设或者实施防灾减灾工程需要的。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自治县有关主管部门应当根据批准的县城总体规划、控制性详细规划，组织编制绿地系统、供排水、交通、水利、电力、通信、燃气、消防、环境卫生、防震减灾、人民防空、地下空间开发、医疗、教育、文化、体育等专项规划。各类专项规划之间应当衔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经自治县人民政府批准的专项规划应当严格执行。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城乡规划报送审批前，组织编制机关应当依法予以公示，并采取论证会、听证会等方式征求专家和公众的意见。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城乡规划批准后，组织编制机关应当及时予以公布。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在低丘缓坡等未利用地上规划建设项目的，经自治县人民政府批准，可以先进行土地收储、平整、地质灾害治理、基础设施配套建设等，再办理土地、规划等相关手续。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县城、乡（镇）集镇应当规划建设公厕、垃圾收集站（点）、候车亭、停车场和应急避险场所等公共设施。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县城规划区道路两侧单位庭院的临街绿化，应当选用栅栏或者绿篱、花坛等作为分界，保持通透开放、整洁美观。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自治县人民政府应当积极改善居民的生产生活条件，逐步将严重缺水地区、地质灾害易发地区、地下采空区和水土流失严重地区的居民迁出原居住区。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自治县人民政府应当制定优惠政策，鼓励社会力量或者民间资本参与县城和乡（镇）的旧城区改造。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自治县人民政府应当根据国家和省、州关于城乡规划、城市建设、房屋建筑等相关标准、规范，并结合自治县自然条件、人文环境和经济发展需要，制定自治县城乡规划管理技术规定。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2" w:name="_Toc13899"/>
      <w:r>
        <w:rPr>
          <w:rFonts w:hint="default"/>
          <w:lang w:val="en-US" w:eastAsia="zh-CN"/>
        </w:rPr>
        <w:t>第三章  城乡规划的实施</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城乡规划的实施应当坚持先规划后建设、旧城改造与新区开发相结合的原则。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在城乡规划区内新建、改建、扩建工程项目的，在开工前应当按照法律、法规规定的程序办理相关审批手续。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在县城规划区内进行工程建设的，应当向自治县城乡规划建设主管部门申请办理建设用地规划许可证、建设工程规划许可证。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在乡（镇）集镇规划区内进行公共设施、公益事业建设的，应当向自治县城乡规划建设主管部门申请办理乡村建设规划许可证。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在乡（镇）和村庄规划区内进行工程建设的，应当向乡（镇）人民政府申请办理乡村建设规划许可证。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取得建设工程规划许可证或者乡村建设规划许可证之日起一年内未动工或者三年内未完工的，取得的规划许可证自行失效。确需继续建设的，应当按照原审批程序重新报批。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建设单位或者个人应当按照规划许可的内容进行建设，不得擅自加层、加宽、增设附属设施或者扩大原有占地面积、侵占公共用地。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未取得建设工程规划许可证或者乡村建设规划许可证的建设工程，施工单位或者个人不得承建。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城乡规划区内新建、改建、扩建建筑物、构筑物的，应当按照规划将供排水、强弱电、消防、防灾、防震、防雷等设施与主体工程同步设计、配套建设。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未按照规划配套建设的，相关部门不得进行竣工验收。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城乡规划区内的建设工程，应当经城乡规划建设主管部门或者其委托的工作机构现场放线后方可开工建设。基础工程完工后，经城乡规划建设主管部门复验无误后，方可继续施工。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建设工程竣工后，未经验收合格的，相关部门不得办理权属登记等手续。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自治县城乡规划建设主管部门应当加强对居民住宅设计、建设的指导，建立以彝族民居特色为主、形式多样的建筑资料库，并无偿向居民提供具有民族特色的住宅设计图集。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城乡建设项目应当按照规划配套绿化，确因条件限制绿化面积不达标的，由建设单位实施差额面积的集中绿化或者按照标准缴纳异地绿化费用。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城乡绿化苗木选用的地方树种应当占总量的60%以上。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城乡规划区内的古树名木由自治县市政园林或者林业主管部门按照管辖权属挂牌保护。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在县城、乡（镇）集镇修建临时建筑物、构筑物的，应当经自治县城市管理综合执法机构批准。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修建的临时建筑物、构筑物，不得影响近期建设规划或者控制性详细规划的实施，不得危害公共安全、影响市容市貌、阻碍道路畅通，以及损害他人合法权益。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临时建筑物、构筑物的批准使用期限不得超过两年，使用期满后应当自行拆除。如需继续使用的，应当提前一个月按原审批程序报批；临时建筑物、构筑物使用期未满，因实施城乡建设需要拆除的，其所有权人或者管理人应当无条件拆除，但原审批机构应当提前一个月通知所有权人或者管理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3" w:name="_Toc3049"/>
    </w:p>
    <w:p>
      <w:pPr>
        <w:pStyle w:val="17"/>
        <w:rPr>
          <w:rFonts w:hint="default"/>
          <w:lang w:val="en-US" w:eastAsia="zh-CN"/>
        </w:rPr>
      </w:pPr>
      <w:r>
        <w:rPr>
          <w:rFonts w:hint="default"/>
          <w:lang w:val="en-US" w:eastAsia="zh-CN"/>
        </w:rPr>
        <w:t>第四章  管理与监督</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第二十八条</w:t>
      </w:r>
      <w:r>
        <w:rPr>
          <w:rFonts w:hint="default" w:ascii="Times New Roman" w:hAnsi="Times New Roman" w:eastAsia="仿宋_GB2312" w:cs="Times New Roman"/>
          <w:kern w:val="2"/>
          <w:sz w:val="32"/>
          <w:szCs w:val="32"/>
          <w:lang w:val="en-US" w:eastAsia="zh-CN" w:bidi="ar"/>
        </w:rPr>
        <w:t xml:space="preserve">  自治县实行市政公用设施特许经营权制度，通过招租、转让、冠名等方式，逐步提高市政公用领域的市场化程度。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自治县城市管理综合执法机构负责组织编制市政公用事业特许经营权出让方案，报自治县人民政府批准后实施。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新建、改建、扩建的城镇道路交付使用5年内，经大修的城镇道路竣工3年内不得挖掘。因公共建设确需挖掘的，应当经自治县人民政府批准。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经批准挖掘城镇道路的，应当提前10日向社会公告，并按照批准的范围作业，设置安全防护设施。工程完工后，应当恢复道路，并经相关部门验收合格。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禁止在城镇道路及两侧和公共场所堆放物料。确需临时堆放的，应当经自治县城市管理综合执法机构批准。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自治县人民政府应当合理布局商业网点，加强专业市场、专业街区的规划建设和管理工作。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在县城、乡（镇）集镇从事商品经营的单位和个人应当按照商业网点布局进入市场交易。未进入市场交易的，有关部门不得办理相关手续。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城乡规划区内禁止下列损毁绿化的行为：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（一）踩踏公共绿地；</w:t>
      </w:r>
      <w:r>
        <w:rPr>
          <w:rFonts w:hint="default" w:ascii="Times New Roman" w:hAnsi="Times New Roman" w:eastAsia="仿宋_GB2312" w:cs="Times New Roman"/>
          <w:kern w:val="2"/>
          <w:sz w:val="32"/>
          <w:szCs w:val="32"/>
          <w:lang w:val="en-US" w:eastAsia="zh-CN" w:bidi="ar"/>
        </w:rPr>
        <w:tab/>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（二）擅自占用和挖掘公共绿地；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（三）损毁绿化设施，擅自砍伐和圈围树木；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（四）在公共绿地摆摊设点、堆放物品；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（五）利用行道树、广场公园绿地搭建建筑物、构筑物。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县城规划区内的工程建设，建设单位或者个人应当按照下列规定施工：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（一）实行封闭作业，工地出入口道路进行硬化处理，设置车辆冲洗设施；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（二）集中堆放施工产生的垃圾、渣土，并及时清运到指定地点；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（三）对渣土、散体材料、流体材料实行封闭式运输；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（四）未经批准，在当日22：00至次日06：00不得进行作业。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县城规划区内饲养禽畜及宠物的，应当采取管控、防疫措施，不得在公共场所放养，不得危及他人安全、影响他人正常生活秩序和污染环境。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城乡规划区内禁止下列影响市容环境卫生的行为：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（一）在公共场所乱贴乱画、乱刻乱挂、焚烧物品和制造噪声；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（二）在城区临街建筑物的窗外吊挂有碍市容或者存在安全隐患的物品；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（三）向河道和其他公共区域倾倒废渣、废液或者其他污染物；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（四）擅自拆除、占用、迁移、封闭环境卫生设施或者依附环境卫生设施搭建建筑物、构筑物；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（五）占用城区道路及两侧修理、练试、清洗机动车辆；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（六）占用城区道路及两侧加工作业、摆摊设点；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（七）占用城区道路及两侧屠宰畜禽；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（八）超出店门经营、作业、展示或者堆放商品；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（九）在城乡道路打场晒物。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城乡规划区内禁止下列损害公用设施的行为：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（一）损毁道路、河堤护栏、交通隔离栏、交通信号灯和标志牌；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（二）擅自修筑道路出入口或者在人行道路沿铺设坡道设施；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（三）擅自拆除、迁移、改动、搭接市政照明和绿化给水设施；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（四）擅自在道路、桥梁、河堤、广场实施挖掘、设置各种管线设施；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（五）向市政管网、阀井、检查井、落水口内倾倒排放有毒、易燃、易爆物品或者粪便、泔水。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自治县人民政府应当加强垃圾和污水处理设施的建设，逐步实现垃圾无害化处理和污水达标排放。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城乡规划区内的单位和个人应当将产生的生活垃圾归入垃圾收集容器，将生活污水排入污水管网。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县城集贸市场、夜市等经营者，应当自带器具回收垃圾、废弃物，保持经营地点的清洁。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工业垃圾和医疗机构、屠宰点产生的垃圾及其他易燃、易爆、剧毒、放射性等有毒、有害废弃物应当依法实行集中处理，不得混入生活垃圾。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城乡规划区内的户外广告应当统一规划和布局。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户外广告、牌匾、灯箱、画廊、标语、宣传栏等户外设施，应当保持外形美观、安全。画面污损、字体残缺、灯光显示不完整等影响市容市貌的，设置人应当及时维修或者更换。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第三十九条</w:t>
      </w:r>
      <w:r>
        <w:rPr>
          <w:rFonts w:hint="default" w:ascii="Times New Roman" w:hAnsi="Times New Roman" w:eastAsia="仿宋_GB2312" w:cs="Times New Roman"/>
          <w:kern w:val="2"/>
          <w:sz w:val="32"/>
          <w:szCs w:val="32"/>
          <w:lang w:val="en-US" w:eastAsia="zh-CN" w:bidi="ar"/>
        </w:rPr>
        <w:t xml:space="preserve">  城乡规划区内不得擅自开采地下水或者修路、架桥、开山、采石。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4" w:name="_Toc15805"/>
      <w:r>
        <w:rPr>
          <w:rFonts w:hint="default"/>
          <w:lang w:val="en-US" w:eastAsia="zh-CN"/>
        </w:rPr>
        <w:t>第五章  法律责任</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国家工作人员在城乡规划、建设和管理工作中玩忽职守、滥用职权、徇私舞弊的，由其所在单位或者上级主管部门给予处分；造成损失的，依法承担赔偿责任；构成犯罪的，依法追究刑事责任。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村民委员会和村民小组负责人在村庄规划、建设和管理工作中，擅自改变规划内容、弄虚作假、徇私舞弊、乱批乱建的，由乡（镇）人民政府责令限期改正；情节严重的，依法予以罢免；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违反本条例下列规定，由自治县城乡规划建设主管部门予以处罚：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二十条第二款、第三款和第二十二条规定，未取得规划许可证或者未按照规划许可证的规定进行建设的，责令停止建设，可以采取改正措施消除对规划实施影响的，限期改正，并处建设工程造价6%以上10%以下罚款；无法采取改正措施消除影响的，限期拆除，不能拆除的，没收实物或者违法所得，可以并处建设工程造价10%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（二）违反第二十三条第一款规定的，责令限期改正；拒不改正的，处建设单位应当配套设施工程造价6%以上10%以下罚款。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违反本条例下列规定，由自治县城市管理综合执法机构予以处罚：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（一）违反第二十七条规定的，责令限期改正；拒不改正的，依法强制拆除，费用由违法者承担，并处2000元以上1万元以下罚款；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（二）违反第二十九条规定，擅自挖掘城镇道路的，责令停止违法行为，恢复原状，并处1000元以上5000元以下罚款；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（三）违反第三十条规定的，责令限期改正；拒不改正的，强制清除，费用由违法者承担，并处500元以上2000元以下罚款；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（四）违反第三十一条第二款规定，商品经营未进入市场交易的，责令限期改正；拒不改正的，对个人处100元以上500元以下罚款，对单位处5000元以上2万元以下罚款；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（五）违反第三十二条第一、四、五项规定的，责令改正；拒不改正的，处50元以上200元以下罚款；违反第二、三项规定的，责令赔偿损失，并处500元以上2000元以下罚款；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（六）违反第三十三条规定的，责令停止违法行为，限期改正；拒不改正的，对个人处200元以上1000元以下罚款；对单位处5000元以上2万元以下罚款；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（七）违反第三十四条规定的，责令改正；情节严重的，可以处50元以上200元以下罚款；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违反第三十五条第一、二、五、六、七、八、九项规定的，责令改正；拒不改正的，处100元以上500元以下罚款；违反第三项规定的，处500元以上2000元以下罚款；违反第四项规定的，责令限期改正，赔偿损失，可以并处1000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（九）违反第三十六条第二、三项规定的，责令改正，并处200元以上1000元以下罚款；违反第一、四、五项规定的，处1000元以上5000元以下罚款；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违反第三十七条第二款规定的，责令改正；拒不改正的，对个人每次处20元以上100元以下罚款，对单位每次处2000元以上1万元以下罚款。违反第三款规定的，责令改正；拒不改正的，每次处200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（十一）违反第三十八条第二款规定的，责令改正，处200元以上1000元以下罚款；情节严重的，处2000元以上1万元以下罚款。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 xml:space="preserve"> 违反第二十条第四款规定的，由乡（镇）人民政府责令停止建设；尚可采取改正措施消除对规划实施影响的，限期改正；逾期不改正或者无法采取改正措施消除影响的，依法强制拆除。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自治县城市管理综合执法等部门作出责令停止建设或者限期拆除的决定后，当事人不停止建设或者不拆除的，自治县人民政府可以责成有关部门依法采取强制拆除等措施。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5" w:name="_Toc32550"/>
      <w:r>
        <w:rPr>
          <w:rFonts w:hint="default"/>
          <w:lang w:val="en-US" w:eastAsia="zh-CN"/>
        </w:rPr>
        <w:t>第六章  附则</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第四十六条  </w:t>
      </w:r>
      <w:r>
        <w:rPr>
          <w:rFonts w:hint="default" w:ascii="Times New Roman" w:hAnsi="Times New Roman" w:eastAsia="仿宋_GB2312" w:cs="Times New Roman"/>
          <w:kern w:val="2"/>
          <w:sz w:val="32"/>
          <w:szCs w:val="32"/>
          <w:lang w:val="en-US" w:eastAsia="zh-CN" w:bidi="ar"/>
        </w:rPr>
        <w:t>本条例经自治县人民代表大会审议通过，报云南省人民代表大会常务委员会审议批准，由自治县人民代表大会常务委员会公布施行。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第四十七条  </w:t>
      </w:r>
      <w:r>
        <w:rPr>
          <w:rFonts w:hint="default" w:ascii="Times New Roman" w:hAnsi="Times New Roman" w:eastAsia="仿宋_GB2312" w:cs="Times New Roman"/>
          <w:kern w:val="2"/>
          <w:sz w:val="32"/>
          <w:szCs w:val="32"/>
          <w:lang w:val="en-US" w:eastAsia="zh-CN" w:bidi="ar"/>
        </w:rPr>
        <w:t>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9CE0EC0"/>
    <w:rsid w:val="1B28770B"/>
    <w:rsid w:val="1C443CDD"/>
    <w:rsid w:val="1C902F24"/>
    <w:rsid w:val="263814A8"/>
    <w:rsid w:val="2CF11F6E"/>
    <w:rsid w:val="3F0B2191"/>
    <w:rsid w:val="415B19A2"/>
    <w:rsid w:val="46FA4878"/>
    <w:rsid w:val="4D80664F"/>
    <w:rsid w:val="545517A1"/>
    <w:rsid w:val="553F1765"/>
    <w:rsid w:val="577C51AC"/>
    <w:rsid w:val="59306E31"/>
    <w:rsid w:val="6E740E10"/>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2017-01-09T12:49:11Z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