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云南省江城哈尼族彝族自治县</w:t>
      </w:r>
    </w:p>
    <w:p>
      <w:pPr>
        <w:pStyle w:val="18"/>
        <w:rPr>
          <w:rFonts w:hint="default"/>
          <w:lang w:val="en-US" w:eastAsia="zh-CN"/>
        </w:rPr>
      </w:pPr>
      <w:r>
        <w:rPr>
          <w:rFonts w:hint="default"/>
          <w:lang w:val="en-US" w:eastAsia="zh-CN"/>
        </w:rPr>
        <w:t>畜牧业发展条例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（2012年2月16日云南省江城哈尼族彝族自治县第十四届人民代表大会第五次会议通过  2012年5月31日云南省第十一届人民代表大会常务委员会第三十一次会议批准）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规范畜牧业生产经营行为，保障畜禽产品质量安全，促进畜牧业持续健康发展，根据《中华人民共和国民族区域自治法》、《中华人民共和国畜牧法》等有关法律法规，结合江城哈尼族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在自治县行政区域内从事畜禽饲养、繁育、运输、屠宰、加工、贮藏、销售和管理等活动的单位和个人，应当遵守本条例。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自治县人民政府应当将畜牧业发展工作纳入国民经济和社会发展规划，所需经费列入本级财政预算，加大投入，发展优质、高效、生态、安全的畜牧业。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自治县人民政府畜牧兽医主管部门负责畜牧业的监督和管理工作，其主要职责是：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（二）制定畜牧业发展规划，报自治县人民政府批准后组织实施；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（三）指导畜牧业生产经营者改善畜禽饲养、繁育等条件和环境，做好服务工作；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（四）负责畜牧兽医技术培训推广；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（五）组织畜禽产品申报认证；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自治县人民政府的发展改革、水务、农业科技、林业、国土资源、财政、工商、公安等有关部门，应当按照各自职责做好畜牧业发展的相关工作。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乡（镇）畜牧兽医机构应当在乡（镇）人民政府的领导下，做好本行政区域内的畜牧兽医工作。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自治县人民政府设立畜牧业发展专项资金，用于发展畜牧业。资金来源：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自治县人民政府应当加强畜牧兽医队伍建设，培养和引进技术、人才，鼓励畜牧兽医技术研究和推广，促进畜牧业科学发展。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自治县人民政府应当制定优惠政策，鼓励、扶持单位和个人创建畜牧业专业合作组织，发展规模化、标准化养殖，推进畜牧产业化经营，扩大对外交流与合作。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自治县人民政府鼓励单位和个人投资创办畜禽养殖企业，建立畜禽生产基地，兴办畜禽交易市场，扶持发展畜禽产品加工龙头企业。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自治县人民政府应当对天然草场、草山、草坡及其他畜牧业资源实行统一规划，合理开发，综合利用。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自治县人民政府鼓励单位和个人承包、租赁荒山、荒坡、天然草场等进行种草养畜。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单位和个人依法取得的草地使用权，可以通过转让、转租、参股等方式流转，也可以依法继承。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从事畜禽养殖的单位和个人应当根据草地载畜量，科学定畜，合理养殖，改善草地条件，防止草地退化、沙化、水土流失。禁止毁草开荒。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在边境沿线放养牲畜的单位和个人，应当遵守边境管理规定。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自治县人民政府引导单位和个人发展以江城黄牛为主的畜禽养殖，创建名、特、优品牌。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自治县人民政府畜牧兽医主管部门应当保护和合理利用地方畜禽遗传资源，引进优良品种，加快畜禽品种改良，建立和完善良种繁育体系。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单位和个人兴办畜禽养殖场（养殖小区），应当向自治县人民政府畜牧兽医主管部门申请动物防疫合格证。经审查合格的，发给动物防疫合格证；不合格的，书面告知申请人并说明理由。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自治县人民政府畜牧兽医主管部门应当建立健全动物疫病防控体系、疫情监测预警体系和疫情报告制度，制定疫情应急预案。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从事畜禽养殖和畜禽产品经营的单位和个人，应当做好免疫、消毒等疫病预防工作，接受动物卫生监督机构、疫控机构的监督和监测。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单位和个人从事饲养、屠宰、加工、运输、经营畜禽及其产品的，应当在屠宰、出售或者运输前向自治县动物卫生监督机构或者畜禽产地检疫申报点申报检疫。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自治县动物卫生监督机构或者畜禽产地检疫申报点接到检疫申报后，应当及时实施现场检疫。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从自治县外引进乳用、种用畜禽及其精液、胚胎、种蛋的，应当按照有关规定申请办理审批手续，并取得输出地县级以上动物卫生监督机构出具的检疫合格证明。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禁止任何单位和个人屠宰、经营、运输下列畜禽和经营、加工、贮藏、运输下列畜禽产品：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（一）封锁疫区内与所发生畜禽疫病有关的；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（二）疫区内易感染的；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（三）依法应当检疫而未经检疫或者检疫不合格的；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（四）染疫或者疑似染疫的；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（五）病死或者死因不明的。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从事畜禽养殖，禁止下列行为：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（一）使用国家明确禁用的饲料、饲料添加剂和兽药；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（二）使用未经高温处理的泔水饲喂畜禽；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（三）在垃圾场放养畜禽；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（四）使用垃圾场中的物质饲喂畜禽。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畜禽饲养场、屠宰场（厂）、肉类联合加工厂的选址、设计和建设，应当符合国家和省的有关规定。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经营类畜禽实行定点屠宰，禁止私屠滥宰。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自治县人民政府对在畜牧业发展工作中做出显著成绩的单位和个人，应当给予表彰奖励。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违反本条例有关规定的，由自治县人民政府畜牧兽医主管部门按照下列规定予以处罚；构成犯罪的，依法追究刑事责任。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（一）违反第十二条规定的，责令限期恢复植被，赔偿损失，并处每亩五十元以上一百元以下罚款；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（二）违反第十八条第一款规定的，责令改正，处五百元以上三千元以下罚款；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（三）违反第十九条规定的，没收违法所得，并处违法所得二倍以上五倍以下罚款；没有违法所得的，处二百元以上一千元以下罚款；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（四）违反第二十条规定的，责令改正，没收违法使用的产品和非法添加物质；情节严重的，对个人并处一千元以上五千元以下罚款，对单位并处一万元以上五万元以下罚款。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违反本条例第二十一条第二款规定的，由自治县人民政府商务主管部门依照有关法律法规的规定予以处罚。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自治县人民政府畜牧兽医主管部门和其他有关部门的工作人员，在畜牧业发展工作中玩忽职守、滥用职权、徇私舞弊的，由其所在单位或者上级主管部门给予处分；构成犯罪的，依法追究刑事责任。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E014DB2"/>
    <w:rsid w:val="0FA54255"/>
    <w:rsid w:val="12547902"/>
    <w:rsid w:val="13967B69"/>
    <w:rsid w:val="19CE0EC0"/>
    <w:rsid w:val="1B28770B"/>
    <w:rsid w:val="1C443CDD"/>
    <w:rsid w:val="1C902F24"/>
    <w:rsid w:val="1ED30281"/>
    <w:rsid w:val="2CF11F6E"/>
    <w:rsid w:val="3F0B2191"/>
    <w:rsid w:val="415B19A2"/>
    <w:rsid w:val="4371426A"/>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3">
    <w:name w:val="toc 7"/>
    <w:basedOn w:val="1"/>
    <w:next w:val="1"/>
    <w:uiPriority w:val="0"/>
    <w:pPr>
      <w:ind w:left="2520" w:leftChars="1200"/>
    </w:pPr>
  </w:style>
  <w:style w:type="paragraph" w:styleId="4">
    <w:name w:val="toc 5"/>
    <w:basedOn w:val="1"/>
    <w:next w:val="1"/>
    <w:uiPriority w:val="0"/>
    <w:pPr>
      <w:ind w:left="1680" w:leftChars="800"/>
    </w:pPr>
  </w:style>
  <w:style w:type="paragraph" w:styleId="5">
    <w:name w:val="toc 3"/>
    <w:basedOn w:val="1"/>
    <w:next w:val="1"/>
    <w:uiPriority w:val="0"/>
    <w:pPr>
      <w:ind w:left="840" w:leftChars="400"/>
    </w:pPr>
  </w:style>
  <w:style w:type="paragraph" w:styleId="6">
    <w:name w:val="toc 8"/>
    <w:basedOn w:val="1"/>
    <w:next w:val="1"/>
    <w:uiPriority w:val="0"/>
    <w:pPr>
      <w:ind w:left="2940" w:leftChars="1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样式3"/>
    <w:basedOn w:val="1"/>
    <w:qFormat/>
    <w:uiPriority w:val="0"/>
    <w:rPr>
      <w:rFonts w:ascii="Times New Roman" w:hAnsi="Times New Roman" w:eastAsia="宋体"/>
    </w:rPr>
  </w:style>
  <w:style w:type="paragraph" w:customStyle="1" w:styleId="18">
    <w:name w:val="大标"/>
    <w:basedOn w:val="1"/>
    <w:qFormat/>
    <w:uiPriority w:val="0"/>
    <w:pPr>
      <w:spacing w:line="592" w:lineRule="exact"/>
      <w:jc w:val="center"/>
    </w:pPr>
    <w:rPr>
      <w:rFonts w:ascii="Times New Roman" w:hAnsi="Times New Roman"/>
      <w:sz w:val="44"/>
    </w:rPr>
  </w:style>
  <w:style w:type="paragraph" w:customStyle="1" w:styleId="19">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