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云南省漾濞彝族自治县</w:t>
      </w:r>
    </w:p>
    <w:p>
      <w:pPr>
        <w:pStyle w:val="17"/>
        <w:rPr>
          <w:rFonts w:hint="default"/>
          <w:lang w:val="en-US" w:eastAsia="zh-CN"/>
        </w:rPr>
      </w:pPr>
      <w:r>
        <w:rPr>
          <w:rFonts w:hint="default"/>
          <w:lang w:val="en-US" w:eastAsia="zh-CN"/>
        </w:rPr>
        <w:t>石门关风景名胜区管理条例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（2007年1月13日云南省漾濞彝族自治县第十三届人民代表大会第五次会议通过  2007年3月30日云南省第十届人民代表大会常务委员会第二十八次会议批准）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为加强对石门关风景名胜区的保护管理和合理开发利用，根据国务院《风景名胜区条例》等法律法规，结合漾濞彝族自治县（以下简称自治县）的实际，制定本条例。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石门关风景名胜区（以下简称景区）包括石门关景区、苍山岩画景区和岩桥景区。景区的范围由自治县人民政府设立界桩，向社会公告。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在景区内活动的单位和个人，应当遵守本条例。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景区管理坚持严格保护、统一管理、合理开发、永续利用的原则。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自治县人民政府设立景区管理机构（以下简称管理机构），其主要职责：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（二）组织实施景区各项规划和管理措施；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（三）负责景区资源的调查、登记和建立档案；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自治县人民政府的旅游、规划建设、国土资源、水利、环保、林业、宗教事务等行政管理部门，应当按照各自的职责做好景区的保护管理工作。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自治县人民政府鼓励县内外的单位和个人参与景区的保护和合理开发利用，保护投资者的合法权益。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在景区内进行开发建设或者从事经营活动的，应当照顾当地群众的利益，尊重少数民族的风俗习惯。因开发建设活动影响当地群众生产生活的，应当依法给予补偿。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在景区保护和管理工作中有突出贡献的单位和个人，由管理机构评审后报自治县人民政府给予表彰和奖励。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景区主要保护对象：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（一）石门关、苍山岩画、岩桥一线天、光明核桃生态园等自然和人文景观；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（二）福国寺、金安寺、玉皇阁等寺观和宗教文化遗址；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（三）水资源、森林、野生动物和列级的野生植物。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景区内禁止下列行为：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（一）采矿、采石、采沙、取土、开垦和新增墓地等；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（二）砍伐林木或者擅自移植古树名木；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（三）猎捕野生动物，采摘列级的野生植物；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（四）刻划、涂污、损毁自然遗迹和景区标志、标识；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（五）在非指定地点扔弃果皮、纸屑等废弃物；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（六）在非指定地点吸烟、燃放烟花爆竹、燃点香烛以及其他用火行为。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自治县人民政府应当组织编制景区总体规划。经批准的景区总体规划，任何单位和个人不得擅自调整或者变更。确需调整或者变更的，应当按原审批程序报经批准。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景区内新建、改建、扩建的建设项目应当符合景区总体规划，并与自然景观相协调。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景区内的建设项目，应当经管理机构审核后，依据有关规定办理审批手续。未办理审批的，不得开工建设。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景区内原有不符合景区保护规划的建筑，应当改造或者搬迁。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景区内进行建设的单位和个人，应当按设计要求施工，不得损毁树木、植被及其他设施。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景区内从事科研、教学、拍摄影视片、攀岩或者采集标本、采摘或者收购野生花卉、药材等活动的，应当经管理机构审查同意后方可进行。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景区内从事经营活动的，应当经管理机构审查同意后方可办理其他相关手续，并在指定的地点经营。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经营者应当按同期营业额的1%缴纳风景名胜资源保护费。风景名胜资源保护费由管理机构征收，专项用于景区的保护和管理。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在景区内的宗教活动场所举行宗教活动时，自治县的宗教事务部门和管理机构应当提供指导，做好服务，并加强防火、卫生和安全等相关工作。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违反本条例第十条第（一）项规定的，由国土资源行政管理部门责令改正，没收违法所得，可以并处200元以上2000元以下罚款。构成犯罪的，依法追究刑事责任。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违反本条例第十二条第二款规定的，由建设行政管理部门责令限期拆除，可以并处违法建设工程总造价2%以上5%以下或者每平方米200元以下的罚款。构成犯罪的，依法追究刑事责任。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违反本条例规定，有下列行为之一的，由林业行政管理部门给予处罚，造成损失的，责令予以赔偿；构成犯罪的，依法追究刑事责任。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本条例第十条第（二）项规定的，没收采伐的林木，并处采伐林木价值3倍以上5倍以下罚款；砍伐古树名木的，处古树名木评估价值3倍以上5倍以下罚款；擅自移植古树名木的，责令恢复，可以并处5000元以上20000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（二）违反本条例第十条第（三）项规定的，责令停止违法行为，处50元以上500元以下罚款。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违反本条例规定，有下列行为之一的，由管理机构给予处罚；构成犯罪的，依法追究刑事责任。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（一）违反本条例第十条第（四）、（五）、（六）项规定的，责令停止违法行为，可以并处50元以上200元以下罚款。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（二）违反本条例第十三条、第十四条、第十五条第一款规定的，责令停止违法行为，赔偿损失，可以并处50元以上500元以下罚款。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自治县有关行政管理部门和管理机构的工作人员，玩忽职守、滥用职权、徇私舞弊的，由所在单位或者上级行政管理部门依法给予行政处分；构成犯罪的，依法追究刑事责任。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当事人对行政处罚不服的，依照《中华人民共和国行政复议法》和《中华人民共和国行政诉讼法》的规定办理。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本条例由自治县人民代表大会通过，报云南省人民代表大会常务委员会批准后公布施行。</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78B1098"/>
    <w:rsid w:val="1A877448"/>
    <w:rsid w:val="1B28770B"/>
    <w:rsid w:val="213D1C48"/>
    <w:rsid w:val="3F0B2191"/>
    <w:rsid w:val="415B19A2"/>
    <w:rsid w:val="46FA4878"/>
    <w:rsid w:val="4B245D66"/>
    <w:rsid w:val="51E971CB"/>
    <w:rsid w:val="545517A1"/>
    <w:rsid w:val="553F1765"/>
    <w:rsid w:val="577C51AC"/>
    <w:rsid w:val="5A6B66DA"/>
    <w:rsid w:val="638D3C6E"/>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章"/>
    <w:basedOn w:val="1"/>
    <w:link w:val="19"/>
    <w:qFormat/>
    <w:uiPriority w:val="0"/>
    <w:pPr>
      <w:spacing w:line="592" w:lineRule="exact"/>
      <w:jc w:val="center"/>
    </w:pPr>
    <w:rPr>
      <w:rFonts w:ascii="Times New Roman" w:hAnsi="Times New Roman" w:eastAsia="黑体"/>
      <w:sz w:val="32"/>
    </w:rPr>
  </w:style>
  <w:style w:type="character" w:customStyle="1" w:styleId="19">
    <w:name w:val="章 Char"/>
    <w:link w:val="18"/>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2017-01-09T12:22:32Z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