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ascii="Times New Roman" w:hAnsi="Times New Roman" w:eastAsia="楷体_GB2312"/>
          <w:sz w:val="32"/>
        </w:rPr>
      </w:pPr>
      <w:r>
        <w:rPr>
          <w:rFonts w:ascii="Times New Roman" w:hAnsi="Times New Roman" w:eastAsia="楷体_GB2312"/>
          <w:sz w:val="32"/>
        </w:rPr>
        <w:t>（2023年5月31日云南省第十四届人民代表大会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常务委员会第三次会议通过）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燃气使用与器具管理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设施保护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安全事故预防与处理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燃气管理，保障燃气供应，防止和减少燃气安全事故，保障公民生命、财产安全和公共安全，维护燃气用户和燃气经营企业的合法权益，促进燃气事业健康发展，根据国务院《城镇燃气管理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本省行政区域内燃气的规划建设、经营使用、设施保护、安全事故预防与处理及相关管理活动，适用本条例。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本条例所称燃气，是指作为燃料使用并符合一定要求的气体燃料，包括天然气（含煤层气、页岩气等）、液化石油气、人工煤气和二甲醚气等。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燃气的生产、进口以及作为工业生产原料使用，城市门站以外的天然气管道输送，沼气、秸秆气的生产和使用，不适用本条例。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燃气管理应当坚持统筹规划、保障安全、确保供应、规范服务、节能环保的原则。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县级以上人民政府应当加强对燃气工作的领导，将燃气工作纳入国民经济和社会发展规划，明确有关部门燃气管理</w:t>
      </w:r>
      <w:r>
        <w:rPr>
          <w:rFonts w:eastAsia="仿宋_GB2312"/>
          <w:sz w:val="32"/>
        </w:rPr>
        <w:t>职责分工，建立健全跨部门综合监管工作机制，加强对有关部门和下级人民政府履行燃气管理职责的监督检查。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乡（镇）人民政府和街道办事处应当协助做好本区域内的燃气管理工作。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县级以上人民政府住房城乡建设管理部门或者政府确定的行政管理部门（以下简称燃气管理部门）负责本行政区域内的燃气管理工作。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县级以上人民政府发展改革、能源、应急管理、市场监督管理、公安、自然资源、交通运输、工业和信息化等部门以及消防救援机构按照各自职责，依法负责有关燃气管理工作。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各级人民政府及有关部门应当加强燃气法律、法规和安全知识的宣传，提高全民的燃气安全意识。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新闻媒体应当开展燃气使用安全公益性宣传。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县级以上人民政府应当加快推进燃气利用，提高天然气在一次能源消费结构中的比重，加大对燃气设施建设、科技发展和燃气管理的投入，并鼓励社会资金投资建设燃气设施。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鼓励、支持燃气科学技术研究，推广使用安全、节能、高效、环保和智能化的燃气新技术、新工艺、新材料、新产品，提高燃气经营服务和管理的信息化水平。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燃气行业协会应当加强行业自律管理，维护燃气经营企业和燃气用户的合法权益，督促燃气经营企业守法经营、诚实守信，促进行业提高服务质量和技术水平。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燃气管理部门应当会同有关部门，根据国民经济和社会发展规划、国土空间规划、能源规划以及上一级燃气发展规划等，组织编制本行政区域的燃气发展规划，报本级人民政府批准后组织实施，并报上一级人民政府燃气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县级以上人民政府应当将乡村燃气事业发展纳入本级能源规划和燃气发展规划。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燃气发展规划不得擅自变更或者调整，确需变更或者调整的，应当按照原编制程序报批、备案。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县级以上人民政府自然资源部门应当按照国土空间规划和燃气发展规划，保障燃气设施建设用地和预留用地需求。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新建、扩建和改建市政燃气管网，以及储配站、门站、加气站、供应站等厂站，应当符合国土空间规划和燃气发展规划。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对燃气发展规划范围内的燃气设施建设工程，自然资源部门在核发建设项目用地预审与选址意见书时，应当就燃气设施建设工程是否符合燃气发展规划书面征求同级燃气管理部门意见，燃气管理部门应当在收件之日起5个工作日内出具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新区建设、旧区改造工程，新建、扩建、改建道路、桥梁等市政工程和房屋建设工程，按照燃气发展规划需要配套建设燃气设施的，燃气设施应当与主体工程同时设计、同时施工、同时竣工验收。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新建、改建房屋建设工程，建设单位应当会同燃气经营企业确定包括燃气供应方式、配套设施建设安排等内容的燃气供应方案。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县级以上人民政府工程建设管理部门应当依法对燃气设施工程建设进行监督管理。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燃气设施建设工程完工后，建设单位应当依法组织竣工验收，未经验收或者验收不合格的，不得交付使用，燃气经营企业不得供气。燃气设施建设单位应当自竣工验收合格之日起15日内，将竣工验收情况报燃气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建筑区划红线内居民用户专有燃气设施以外的燃气设施建设工程的竣工验收，建设单位应当通知承担供气服务的燃气经营企业参加。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燃气设施建设工程竣工验收后，燃气设施建设单位应当按照国家有关档案管理的规定，收集、整理燃气设施建设工程项目的文件资料，建立健全项目档案，并及时向城建档案管理机构和其他有关部门移交。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县级以上人民政府应当建立本级燃气应急储备制度，统筹储气能力建设，组织编制燃气供应应急预案，采取综合措施提高燃气供应应急保障能力。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燃气经营包括管道燃气经营、瓶装燃气经营、车用燃气经营。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从事燃气经营活动的企业，应当依法取得燃气经营许可证，并依照许可的经营类别、区域和时限等从事燃气经营活动。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申请燃气经营许可证的企业，应当具备下列条件：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（一）符合燃气发展规划要求；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（二）有符合国家标准的燃气气源；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（三）有符合国家标准的燃气生产、储气、输配、供应、计量、安全等设施；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（四）有固定的经营场所、完善的安全管理制度和健全的经营方案；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（五）企业主要负责人、安全生产管理人员和储运、服务人员职业技能符合国家标准或者经专业培训并考核合格；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（六）法律、行政法规规定的其他条件。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燃气经营许可证由燃气设施所在地的州（市）、县（市、区）燃气管理部门核发。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已取得燃气经营许可证的燃气经营企业，应当每年向燃气管理部门报送上一年度企业报告。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燃气经营企业从事气瓶充装活动的，应当依法取得气瓶充装许可证。气瓶充装许可证由省市场监督管理部门核发。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燃气经营企业应当按照燃气服务标准提供服务，向用户持续、稳定、安全供应符合国家质量标准的燃气，明确告知用户需具备的安全用气条件和注意事项，定期对用户的用气场所、燃气设施免费进行安全检查，并做好安全检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燃气经营企业应当公示业务流程、服务承诺、收费标准和服务热线等信息，建立健全真实、完整的用户档案。燃气经营企业不得强迫燃气用户接受不合理的服务条件，不得以任何名义收取不合理费用。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燃气经营企业应当建立适应企业规模和用户数量、可持续改进的服务质量保障体系，定期开展服务质量评估，实现燃气服务标准化、规范化。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燃气经营企业应当建立健全燃气质量检测制度，确保燃气种类、热值、组分、使用压力和加臭等安全技术、质量指标符合国家标准。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管道燃气实行特许经营制度。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县（市）人民政府应当按照公开、公平、公正的原则依法通过公开招标、竞争性谈判等方式，选择特许经营企业，向社会公示后签订特许经营协议。特许经营的实施方案由相关燃气管理部门组织制定，并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燃气管理部门应当按照规定组织专家或者第三方机构对管道燃气经营企业特许经营状况进行中期评估，评估周期一般不低于两年，评估中发现管道燃气经营企业违反特许经营协议的，责令限期整改。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管道燃气经营企业应当编制年度市政燃气管网建设、更新、改造计划并组织实施，计划应当报送所在地燃气管理部门。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管道燃气经营企业对其供气范围内的市政燃气设施、建筑区划红线内居民用户专有燃气设施以外的燃气设施承担运行、维护、抢修和更新改造的责任。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瓶装燃气供应站应当由取得本区域内经营许可的瓶装燃气经营企业设立，并符合燃气发展规划，其经营场所和设施应当符合国家和地方标准。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自本条例施行之日起，已取得燃气经营许可的瓶装燃气供应站，在有效期内可以继续经营；有效期届满需要继续经营的，应当符合前款规定的条件。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瓶装燃气实行实名购买制度。瓶装燃气经营者应当如实记录用户基本信息，明确告知用户需具备的安全用气条件，燃气用户应当作出安全用气承诺。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瓶装燃气经营者不得有下列行为：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（一）使用非法制造、报废、改装的气瓶或者未经检验、检验不合格、无气瓶信息标识的气瓶充装燃气；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（二）擅自为非自有产权气瓶充装燃气；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（三）充装不符合充装介质要求的燃气；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（四）销售未经许可的充装单位的瓶装燃气或者销售充装单位擅自为非自有产权气瓶充装的瓶装燃气；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（五）购销不符合国家质量标准的燃气。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经营二甲醚气的瓶装燃气经营者，应当建立独立、专用的储存、充装、配送、使用的工艺系统，不得与其他燃气混装。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瓶装燃气实行统一配送服务制度。州（市）、县（市、区）人民政府应当组织燃气管理、交通运输、公安等有关部门建立瓶装燃气配送管理制度。瓶装燃气经营者应当加强对其送气服务车辆和人员的管理。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车用燃气经营企业不得充装无气瓶使用登记证或者与使用登记信息不一致的车用气瓶。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车用燃气经营企业不得在燃气泄漏、燃气压力异常、附近发生火灾、雷电天气等危险情况下加气、卸气。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管道燃气经营企业和瓶装燃气经营者应当与用户签订供用气合同并依照合同提供服务，供用气合同应当包括服务标准、燃气价格、用气安全、应急维护等内容。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燃气销售价格和相关服务收费项目、标准的制定、调整，应当遵守法律、行政法规和有关政策的规定。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燃气管理部门和有关部门应当建立健全监督管理制度，对燃气经营企业的安全生产、服务质量、燃气质量等进行监督检查，并定期向社会公布监督检查结果；将相关信息纳入燃气经营企业主体信用评价，加强对燃气经营企业的信用监督，依法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接受燃气经营企业委托提供燃气专项服务的企业，应当具备满足该项服务的设备设施、管理制度，从业人员的职业技能应当符合国家标准或者经专业培训并考核合格。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县级以上人民政府燃气管理部门和有关部门应当建立燃气信息化监管平台，完善信息共享机制，运用智能化信息技术手段，对燃气安全实行全程监管。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燃气经营企业应当建立经营服务全过程信息管理系统。管道燃气应当实现储存、输配、供气、服务等全环节的数据采集与监控预警；瓶装燃气应当实现充装、储存、配送服务、安全检查等全过程跟踪管理。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管道燃气经营企业因施工、检修等原因需要临时调整供气量或者暂停供气的，应当将作业时间和影响区域提前48小时予以公告或者书面通知燃气用户；因突发事件影响供气的，应当采取紧急措施并及时通知燃气用户。在施工、检修完工或者突发事件处置完成后，应当及时恢复正常供气，恢复供气时间应当事先通知燃气用户，确保用气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燃气经营企业停业、歇业的，应当在90个工作日前向所在地燃气管理部门报告，并提交其供气范围内的燃气用户正常用气处置方案，经批准方可停业、歇业。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有下列情况之一的，燃气管理部门应当采取措施，启动燃气供应应急预案，妥善安排和保障燃气用户正常用气：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（一）依法撤回、撤销、注销、吊销燃气经营许可的；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（二）依法终止特许经营协议的；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（三）管道燃气经营企业临时调整供气量或者暂停供气未及时恢复正常供气的；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（四）管道燃气经营企业因突发事件影响供气未能采取紧急措施的；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（五）燃气经营企业擅自停业、歇业的。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燃气使用与器具管理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燃气用户应当遵守安全用气规则，使用合格的燃气燃烧器具和气瓶，配合燃气经营企业进行安全检查，及时更换国家明令淘汰或者使用年限已届满的用户专有燃气设施，并按照约定支付燃气费用。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燃气用户以及有关单位和个人不得有下列行为：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（一）擅自操作公用燃气阀门，擅自安装、改装、拆除户内燃气设施和燃气计量装置；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（三）安装、使用不符合气源要求的燃气燃烧器具；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（四）在不具备安全条件的场所使用、储存燃气；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（五）改变燃气用途或者转供燃气；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（六）盗用燃气；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（七）阻碍、阻止对燃气设施的巡查、检测、维修维护、抢修作业；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（八）损坏或者改变气瓶标识、电子标签或者漆色；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（九）加热、摔砸或者倒置气瓶；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（十）用气瓶倒灌燃气或者倾倒气瓶内残液。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燃气使用场所应当按照国家标准安装安全装置。餐饮等行业的生产经营单位使用燃气的，应当安装可燃气体报警装置，并保障其正常使用；新建住宅使用管道燃气的，应当安装自动切断装置。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非居民用户应当建立健全本单位的燃气使用管理制度，加强对燃气设施操作维护人员的安全教育和技能培训。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工矿企业自建燃气设施供本单位使用的，应当严格执行安全生产相关法律、法规，遵守工程建设管理程序，接受企业所属行业管理部门的安全监督管理。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管道燃气居民用户专有燃气设施需要维修、安装、改装、移动或者拆除的，接受委托的燃气经营企业或者其他单位应当按照规范实施作业，并公开服务项目、服务内容、价格构成依据，实行明码标价，由居民用户承担相应费用，国家另有规定的除外。燃气经营企业或者其他单位不得收取未予标明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非居民用户燃气设施的运行、维护、抢修和更新改造责任，由燃气经营企业与非居民用户双方协商，并在供用气合同中予以明确。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本省行政区域内安装的燃气燃烧器具应当符合国家质量标准，与气源种类匹配。高原地区安装的燃气燃烧器具应当适应高原地区使用特点。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燃气燃烧器具生产单位、销售单位应当设立或者委托设立售后服务站点。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从事燃气燃烧器具安装、维修的单位应当依法取得燃气燃烧器具安装维修资质；从事燃气燃烧器具安装、维修的人员，其职业技能应当符合国家标准或者经考核合格。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设施保护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县级以上人民政府燃气管理部门应当会同自然资源部门按照国家有关标准和规定，划定燃气设施保护范围并向社会公布。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在燃气设施保护范围内，禁止从事下列活动：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（二）进行爆破、取土等作业或者动用明火；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（三）倾倒、排放腐蚀性物质；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新建、扩建、改建建设工程，不得影响燃气设施安全。建设单位在开工前，应当向燃气经营企业或者城建档案管理机构查明建设工程施工范围内地下燃气设施的相关情况，有关单位应当及时提供资料。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燃气设施保护范围内，确需实施敷设管道、打桩、顶进、挖掘、钻探等可能影响燃气设施安全活动的，建设单位应当在开工前告知燃气设施所有者、燃气经营企业，共同制定燃气设施保护方案，建设单位应当采取相应的安全保护措施，燃气设施所有者、燃气经营企业应当派专业人员进行现场指导，确保燃气设施运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建设工程施工损坏燃气设施的，建设单位应当立即通知燃气设施所有者、燃气经营企业，并按照燃气设施保护方案采取应急保护措施，避免扩大损失。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燃气经营企业应当按照国家和省有关规定，设置燃气设施防腐、绝缘、防雷、降压、隔离等保护装置，在燃气设施所在地、敷设有燃气管道的道路交叉口及重要燃气设施上设置明显的安全警示标志，并在生产经营场所安装可燃气体报警装置，定期进行巡查、检测、维修和维护，确保燃气设施的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任何单位和个人不得侵占、毁损、擅自拆除或者移动燃气设施，不得毁损、覆盖、涂改、擅自拆除或者移动燃气设施安全警示标志。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安全事故预防与处理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县级以上人民政府燃气管理部门应当会同有关部门制定燃气安全事故应急预案，建立燃气事故统计分析制度，定期通报事故处理结果。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燃气经营企业应当制定本单位的燃气安全事故应急预案，报所在地燃气管理部门备案，同时抄报同级应急管理部门，并按照燃气安全事故应急预案配备应急人员和必要的应急装备、器材，定期组织演练。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任何单位和个人发现燃气安全事故或者燃气安全事故隐患等情况，应当立即告知燃气经营企业，或者向燃气管理部门、消防救援机构等有关部门和单位报告；燃气经营企业、有关部门和单位应当立即进行核查，根据核查情况及时组织抢险、抢修，有关部门和单位应当积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燃气管理部门以及市场监督管理、交通运输、公安等有关部门和消防救援机构应当按照各自职责，对燃气经营、燃气使用和燃气设施的安全状况等进行监督检查，发现燃气安全事故隐患的，应当及时通知燃气经营企业、燃气用户采取措施消除隐患；燃气经营企业、燃气用户未及时消除隐患可能严重威胁公共安全的，有关部门应当依法采取措施，及时组织消除隐患，有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燃气经营企业应当全面实施安全生产标准化建设，建立健全全员安全生产责任制和安全生产规章制度，加大对安全生产资金、物资、技术、人员的投入保障力度，定期对本单位的安全生产条件进行安全评价，构建安全风险分级管控和隐患排查治理双重预防机制，健全风险防范化解机制，提高安全生产水平，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燃气经营企业发现燃气用户有违反安全管理情形或者存在安全隐患的，应当告知燃气用户立即停止危及燃气安全的行为并及时整改。燃气用户存在重大安全隐患且拒不整改的，燃气经营企业应当对该用户采取暂时停止供气等保障安全的措施，并报告燃气管理部门。属于有关部门职责范围的，由燃气管理部门移送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燃气用户整改后申请恢复用气的，燃气经营企业应当在48小时内对整改情况进行核查，达到整改要求的，恢复供气。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燃气安全事故发生后，燃气经营企业应当立即启动燃气安全事故应急预案，采取抢险、抢修、保供等必要的应急措施，并按照规定报告燃气管理部门和其他有关部门。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燃气安全事故发生后，燃气管理部门、应急管理部门和消防救援机构等有关部门和单位，应当根据各自职责，立即采取措施防止事故扩大，根据有关情况启动燃气安全事故应急预案。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燃气安全事故的调查和处理，按照有关法律、行政法规的规定执行。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提倡燃气经营企业和燃气用户投保相关责任保险。任何单位和个人不得强制燃气经营企业和燃气用户投保。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违反本条例规定的行为，法律、行政法规已经规定法律责任的，从其规定。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县级以上人民政府及其有关部门在燃气管理</w:t>
      </w:r>
      <w:r>
        <w:rPr>
          <w:rFonts w:eastAsia="仿宋_GB2312"/>
          <w:sz w:val="32"/>
        </w:rPr>
        <w:t>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违反本条例第十六条第二款规定，未取得燃气经营许可证从事燃气经营活动的，由燃气管理部门责令停止违法行为，处5万元以上50万元以下罚款；有违法所得的，没收违法所得；构成犯罪的，依法追究刑事责任。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六条第二款规定，燃气经营者不按照燃气经营许可证的规定从事燃气经营活动的，由燃气管理部门责令限期改正，处3万元以上20万元以下罚款；有违法所得的，没收违法所得；情节严重的，吊销燃气经营许可证；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违反本条例第二十五条第一项至第三项、第二十八条第一款规定的，由市场监督管理部门责令改正，处2万元以上20万元以下罚款；情节严重的，吊销充装许可证。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违反本条例第二十五条第五项规定的，由燃气管理部门责令限期改正，处1万元以上3万元以下罚款；有违法所得的，没收违法所得；情节严重的，吊销燃气经营许可证；造成损失的，依法承担赔偿责任。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违反本条例第三十七条第七项规定，阻碍、阻止对燃气设施抢修致使燃气设施抢修不能正常进行，违反治安管理处罚法的，由公安机关依法处罚；构成犯罪的，依法追究刑事责任。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违反本条例第三十七条第八项至第十项规定的，由燃气管理部门责令限期改正，对个人处500元以上1000元以下罚款，对单位处5000元以上3万元以下罚款。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违反本条例第三十八条规定，餐饮等行业的生产经营单位使用燃气未安装可燃气体报警装置的，由燃气管理部门责令限期改正，处5万元以下罚款；逾期未改正的，处5万元以上20万元以下罚款，对其直接负责的主管人员和其他直接责任人员处1万元以上2万元以下罚款；情节严重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燃气设施，是指燃气储配站、门站、气化站、混气站、加气站、灌装站、供应站、调压站、市政燃气管网等的总称，包括市政燃气设施、用户专有燃气设施、建筑区划红线内用户专有燃气设施以外的燃气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居民用户专有燃气设施，使用管道燃气且燃气计量表安装在户内时是指燃气计量表后的燃气设施，燃气计量表安装在户外时是指燃气管道进户后墙内侧的燃气设施（含连接管、燃气燃烧器具等）；使用瓶装燃气的是指气瓶角阀后燃气设施（含减压阀、连接软管、燃气燃烧器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（三）燃气用户是指燃气使用人，包括居民用户和非居民用户。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AC2986"/>
    <w:rsid w:val="0B487440"/>
    <w:rsid w:val="0D9804AC"/>
    <w:rsid w:val="11E4354D"/>
    <w:rsid w:val="16DC7373"/>
    <w:rsid w:val="265D2182"/>
    <w:rsid w:val="344634A2"/>
    <w:rsid w:val="344D1295"/>
    <w:rsid w:val="3DE63740"/>
    <w:rsid w:val="481351D2"/>
    <w:rsid w:val="53543565"/>
    <w:rsid w:val="558A062C"/>
    <w:rsid w:val="622F12CF"/>
    <w:rsid w:val="653E08AD"/>
    <w:rsid w:val="6E0950D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2023-10-01T09:50:02Z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