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6F3" w:rsidRPr="00830C4C" w:rsidRDefault="00AB76F3" w:rsidP="00830C4C">
      <w:pPr>
        <w:topLinePunct/>
        <w:adjustRightInd w:val="0"/>
        <w:snapToGrid w:val="0"/>
        <w:spacing w:line="592" w:lineRule="exact"/>
        <w:jc w:val="center"/>
        <w:rPr>
          <w:rFonts w:ascii="宋体" w:eastAsia="仿宋_GB2312" w:hAnsi="宋体"/>
          <w:snapToGrid w:val="0"/>
          <w:sz w:val="32"/>
          <w:szCs w:val="32"/>
        </w:rPr>
      </w:pPr>
    </w:p>
    <w:p w:rsidR="00AB76F3" w:rsidRPr="00830C4C" w:rsidRDefault="00AB76F3" w:rsidP="00830C4C">
      <w:pPr>
        <w:topLinePunct/>
        <w:adjustRightInd w:val="0"/>
        <w:snapToGrid w:val="0"/>
        <w:spacing w:line="592" w:lineRule="exact"/>
        <w:jc w:val="center"/>
        <w:rPr>
          <w:rFonts w:ascii="宋体" w:eastAsia="仿宋_GB2312" w:hAnsi="宋体"/>
          <w:snapToGrid w:val="0"/>
          <w:sz w:val="32"/>
          <w:szCs w:val="32"/>
        </w:rPr>
      </w:pPr>
    </w:p>
    <w:p w:rsidR="00AB76F3" w:rsidRPr="00830C4C" w:rsidRDefault="00AB76F3" w:rsidP="00830C4C">
      <w:pPr>
        <w:topLinePunct/>
        <w:adjustRightInd w:val="0"/>
        <w:snapToGrid w:val="0"/>
        <w:spacing w:line="592" w:lineRule="exact"/>
        <w:jc w:val="center"/>
        <w:rPr>
          <w:rFonts w:ascii="宋体"/>
          <w:color w:val="000000"/>
          <w:sz w:val="44"/>
          <w:szCs w:val="44"/>
        </w:rPr>
      </w:pPr>
      <w:r w:rsidRPr="00830C4C">
        <w:rPr>
          <w:rFonts w:ascii="宋体" w:hAnsi="宋体" w:hint="eastAsia"/>
          <w:color w:val="000000"/>
          <w:sz w:val="44"/>
          <w:szCs w:val="44"/>
        </w:rPr>
        <w:t>云南省矛盾纠纷多元化解条例</w:t>
      </w:r>
    </w:p>
    <w:p w:rsidR="00AB76F3" w:rsidRPr="00830C4C" w:rsidRDefault="00AB76F3" w:rsidP="00830C4C">
      <w:pPr>
        <w:pStyle w:val="PlainText"/>
        <w:topLinePunct/>
        <w:adjustRightInd w:val="0"/>
        <w:snapToGrid w:val="0"/>
        <w:spacing w:line="592" w:lineRule="exact"/>
        <w:jc w:val="center"/>
        <w:rPr>
          <w:rFonts w:eastAsia="楷体_GB2312" w:hAnsi="宋体"/>
          <w:sz w:val="32"/>
          <w:szCs w:val="32"/>
        </w:rPr>
      </w:pPr>
    </w:p>
    <w:p w:rsidR="00AB76F3" w:rsidRPr="00830C4C" w:rsidRDefault="00AB76F3" w:rsidP="00830C4C">
      <w:pPr>
        <w:pStyle w:val="PlainText"/>
        <w:topLinePunct/>
        <w:adjustRightInd w:val="0"/>
        <w:snapToGrid w:val="0"/>
        <w:spacing w:line="592" w:lineRule="exact"/>
        <w:jc w:val="center"/>
        <w:rPr>
          <w:rFonts w:eastAsia="楷体_GB2312" w:hAnsi="宋体"/>
          <w:snapToGrid w:val="0"/>
          <w:color w:val="000000"/>
          <w:sz w:val="32"/>
          <w:szCs w:val="32"/>
        </w:rPr>
      </w:pPr>
      <w:r w:rsidRPr="00830C4C">
        <w:rPr>
          <w:rFonts w:eastAsia="楷体_GB2312" w:hAnsi="宋体" w:hint="eastAsia"/>
          <w:snapToGrid w:val="0"/>
          <w:color w:val="000000"/>
          <w:sz w:val="32"/>
          <w:szCs w:val="32"/>
        </w:rPr>
        <w:t>（</w:t>
      </w:r>
      <w:r w:rsidRPr="00830C4C">
        <w:rPr>
          <w:rFonts w:eastAsia="楷体_GB2312" w:hAnsi="宋体"/>
          <w:snapToGrid w:val="0"/>
          <w:color w:val="000000"/>
          <w:sz w:val="32"/>
          <w:szCs w:val="32"/>
        </w:rPr>
        <w:t>2021</w:t>
      </w:r>
      <w:r w:rsidRPr="00830C4C">
        <w:rPr>
          <w:rFonts w:eastAsia="楷体_GB2312" w:hAnsi="宋体" w:hint="eastAsia"/>
          <w:snapToGrid w:val="0"/>
          <w:color w:val="000000"/>
          <w:sz w:val="32"/>
          <w:szCs w:val="32"/>
        </w:rPr>
        <w:t>年</w:t>
      </w:r>
      <w:r w:rsidRPr="00830C4C">
        <w:rPr>
          <w:rFonts w:eastAsia="楷体_GB2312" w:hAnsi="宋体"/>
          <w:snapToGrid w:val="0"/>
          <w:color w:val="000000"/>
          <w:sz w:val="32"/>
          <w:szCs w:val="32"/>
        </w:rPr>
        <w:t>11</w:t>
      </w:r>
      <w:r w:rsidRPr="00830C4C">
        <w:rPr>
          <w:rFonts w:eastAsia="楷体_GB2312" w:hAnsi="宋体" w:hint="eastAsia"/>
          <w:snapToGrid w:val="0"/>
          <w:color w:val="000000"/>
          <w:sz w:val="32"/>
          <w:szCs w:val="32"/>
        </w:rPr>
        <w:t>月</w:t>
      </w:r>
      <w:r w:rsidRPr="00830C4C">
        <w:rPr>
          <w:rFonts w:eastAsia="楷体_GB2312" w:hAnsi="宋体"/>
          <w:snapToGrid w:val="0"/>
          <w:color w:val="000000"/>
          <w:sz w:val="32"/>
          <w:szCs w:val="32"/>
        </w:rPr>
        <w:t>24</w:t>
      </w:r>
      <w:r w:rsidRPr="00830C4C">
        <w:rPr>
          <w:rFonts w:eastAsia="楷体_GB2312" w:hAnsi="宋体" w:hint="eastAsia"/>
          <w:snapToGrid w:val="0"/>
          <w:color w:val="000000"/>
          <w:sz w:val="32"/>
          <w:szCs w:val="32"/>
        </w:rPr>
        <w:t>日云南省第十三届人民代表大会</w:t>
      </w:r>
    </w:p>
    <w:p w:rsidR="00AB76F3" w:rsidRPr="00830C4C" w:rsidRDefault="00AB76F3" w:rsidP="00830C4C">
      <w:pPr>
        <w:topLinePunct/>
        <w:adjustRightInd w:val="0"/>
        <w:snapToGrid w:val="0"/>
        <w:spacing w:line="592" w:lineRule="exact"/>
        <w:jc w:val="center"/>
        <w:rPr>
          <w:rFonts w:ascii="宋体" w:eastAsia="楷体_GB2312" w:hAnsi="宋体"/>
          <w:color w:val="000000"/>
          <w:sz w:val="32"/>
          <w:szCs w:val="32"/>
        </w:rPr>
      </w:pPr>
      <w:r w:rsidRPr="00830C4C">
        <w:rPr>
          <w:rFonts w:ascii="宋体" w:eastAsia="楷体_GB2312" w:hAnsi="宋体" w:hint="eastAsia"/>
          <w:snapToGrid w:val="0"/>
          <w:color w:val="000000"/>
          <w:sz w:val="32"/>
          <w:szCs w:val="32"/>
        </w:rPr>
        <w:t>常务委员会第二十七次会议通过）</w:t>
      </w: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abs>
          <w:tab w:val="left" w:pos="1985"/>
        </w:tabs>
        <w:topLinePunct/>
        <w:adjustRightInd w:val="0"/>
        <w:snapToGrid w:val="0"/>
        <w:spacing w:line="592" w:lineRule="exact"/>
        <w:jc w:val="center"/>
        <w:rPr>
          <w:rFonts w:ascii="楷体_GB2312" w:eastAsia="楷体_GB2312" w:hAnsi="宋体"/>
          <w:color w:val="000000"/>
          <w:sz w:val="32"/>
          <w:szCs w:val="32"/>
        </w:rPr>
      </w:pPr>
      <w:r w:rsidRPr="00830C4C">
        <w:rPr>
          <w:rFonts w:ascii="楷体_GB2312" w:eastAsia="楷体_GB2312" w:hAnsi="宋体" w:hint="eastAsia"/>
          <w:color w:val="000000"/>
          <w:sz w:val="32"/>
          <w:szCs w:val="32"/>
        </w:rPr>
        <w:t>目</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录</w:t>
      </w:r>
    </w:p>
    <w:p w:rsidR="00AB76F3" w:rsidRPr="00830C4C" w:rsidRDefault="00AB76F3" w:rsidP="00830C4C">
      <w:pPr>
        <w:tabs>
          <w:tab w:val="left" w:pos="1985"/>
        </w:tabs>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第一章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总</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则</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第二章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化解主体及职责</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第三章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化解途径</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第四章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衔接联动</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第五章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保障措施</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第六章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监督管理</w:t>
      </w:r>
    </w:p>
    <w:p w:rsidR="00AB76F3" w:rsidRPr="00830C4C" w:rsidRDefault="00AB76F3" w:rsidP="00830C4C">
      <w:pPr>
        <w:topLinePunct/>
        <w:adjustRightInd w:val="0"/>
        <w:snapToGrid w:val="0"/>
        <w:spacing w:line="592" w:lineRule="exact"/>
        <w:ind w:firstLineChars="200" w:firstLine="640"/>
        <w:rPr>
          <w:rFonts w:ascii="楷体_GB2312" w:eastAsia="楷体_GB2312" w:hAnsi="宋体"/>
          <w:color w:val="000000"/>
          <w:sz w:val="32"/>
          <w:szCs w:val="32"/>
        </w:rPr>
      </w:pPr>
      <w:r w:rsidRPr="00830C4C">
        <w:rPr>
          <w:rFonts w:ascii="楷体_GB2312" w:eastAsia="楷体_GB2312" w:hAnsi="宋体" w:hint="eastAsia"/>
          <w:color w:val="000000"/>
          <w:sz w:val="32"/>
          <w:szCs w:val="32"/>
        </w:rPr>
        <w:t>第七章</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附</w:t>
      </w:r>
      <w:r w:rsidRPr="00830C4C">
        <w:rPr>
          <w:rFonts w:ascii="楷体_GB2312" w:eastAsia="楷体_GB2312" w:hAnsi="宋体"/>
          <w:color w:val="000000"/>
          <w:sz w:val="32"/>
          <w:szCs w:val="32"/>
        </w:rPr>
        <w:t xml:space="preserve">  </w:t>
      </w:r>
      <w:r w:rsidRPr="00830C4C">
        <w:rPr>
          <w:rFonts w:ascii="楷体_GB2312" w:eastAsia="楷体_GB2312" w:hAnsi="宋体" w:hint="eastAsia"/>
          <w:color w:val="000000"/>
          <w:sz w:val="32"/>
          <w:szCs w:val="32"/>
        </w:rPr>
        <w:t>则</w:t>
      </w: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第一章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总</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则</w:t>
      </w: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为了规范和促进矛盾纠纷多元化解工作，有效预防和化解矛盾纠纷，提高社会治理能力，促进社会和谐和公平正义，根据有关法律、行政法规，结合本省实际，制定本条例。</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第二条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本省行政区域内的矛盾纠纷多元化解相关工作适用本条例。法律、行政法规另有规定的，依照其规定。</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本条例所称矛盾纠纷多元化解，是指通过和解、调解、公证、仲裁、行政裁决、行政复议、诉讼等多种矛盾纠纷化解方式，构建非诉讼与诉讼方式有机衔接、协调联动的矛盾纠纷化解机制，为当事人提供多样、高效、便捷的矛盾纠纷解决途径和服务。</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黑体" w:eastAsia="黑体" w:hAnsi="黑体" w:hint="eastAsia"/>
          <w:color w:val="000000"/>
          <w:sz w:val="32"/>
          <w:szCs w:val="32"/>
        </w:rPr>
        <w:t>第三条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矛盾纠纷多元化解应当坚持党委领导、政府负责、民主协商、社会协同、公众参与、法治保障、科技支撑的工作体制，统筹优化资源配置，畅通诉求表达渠道，依法开展矛盾纠纷化解工作。</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黑体" w:eastAsia="黑体" w:hAnsi="黑体" w:hint="eastAsia"/>
          <w:color w:val="000000"/>
          <w:sz w:val="32"/>
          <w:szCs w:val="32"/>
        </w:rPr>
        <w:t>第四条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矛盾纠纷多元化解工作应当公平、公正、高效，遵</w:t>
      </w:r>
    </w:p>
    <w:p w:rsidR="00AB76F3" w:rsidRPr="00830C4C" w:rsidRDefault="00AB76F3" w:rsidP="00830C4C">
      <w:pPr>
        <w:topLinePunct/>
        <w:adjustRightInd w:val="0"/>
        <w:snapToGrid w:val="0"/>
        <w:spacing w:line="592" w:lineRule="exact"/>
        <w:rPr>
          <w:rFonts w:ascii="宋体" w:eastAsia="仿宋_GB2312" w:hAnsi="宋体"/>
          <w:color w:val="000000"/>
          <w:sz w:val="32"/>
          <w:szCs w:val="32"/>
        </w:rPr>
      </w:pPr>
      <w:r w:rsidRPr="00830C4C">
        <w:rPr>
          <w:rFonts w:ascii="宋体" w:eastAsia="仿宋_GB2312" w:hAnsi="宋体" w:hint="eastAsia"/>
          <w:color w:val="000000"/>
          <w:sz w:val="32"/>
          <w:szCs w:val="32"/>
        </w:rPr>
        <w:t>循下列原则：</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（一）尊重当事人意愿；</w:t>
      </w:r>
    </w:p>
    <w:p w:rsidR="00AB76F3" w:rsidRPr="00830C4C" w:rsidRDefault="00AB76F3" w:rsidP="00830C4C">
      <w:pPr>
        <w:tabs>
          <w:tab w:val="left" w:pos="1985"/>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（二）和解、调解优先；</w:t>
      </w:r>
    </w:p>
    <w:p w:rsidR="00AB76F3" w:rsidRPr="00830C4C" w:rsidRDefault="00AB76F3" w:rsidP="00830C4C">
      <w:pPr>
        <w:tabs>
          <w:tab w:val="left" w:pos="1985"/>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（三）预防与化解相结合；</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（四）不违背法律法规、国家政策和公序良俗。</w:t>
      </w:r>
    </w:p>
    <w:p w:rsidR="00AB76F3" w:rsidRPr="00830C4C" w:rsidRDefault="00AB76F3" w:rsidP="00830C4C">
      <w:pPr>
        <w:tabs>
          <w:tab w:val="left" w:pos="1985"/>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第五条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矛盾纠纷多元化解工作应当健全社会稳定风险预警评估、矛盾纠纷排查化解、突发事件应对、社会心理疏导和危机干预、重点群体帮扶、重点地区管理、重点时期管控等制度，建立源头治理、排查发现、调处化解、处置防控的矛盾纠纷预防化解综合机制。</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第六条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鼓励企业事业单位、社会组织和个人积极参与矛盾纠纷化解工作。</w:t>
      </w:r>
    </w:p>
    <w:p w:rsidR="00AB76F3" w:rsidRPr="00830C4C" w:rsidRDefault="00AB76F3" w:rsidP="00830C4C">
      <w:pPr>
        <w:tabs>
          <w:tab w:val="left" w:pos="1985"/>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引导社会资金投入矛盾纠纷化解领域，鼓励社会各界为矛盾纠纷化解工作提供捐赠、资助。</w:t>
      </w:r>
    </w:p>
    <w:p w:rsidR="00AB76F3" w:rsidRPr="00830C4C" w:rsidRDefault="00AB76F3" w:rsidP="00830C4C">
      <w:pPr>
        <w:tabs>
          <w:tab w:val="left" w:pos="1985"/>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第七条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国家机关、人民团体、企业事业单位、新闻媒体等应当按照各自职责开展法治宣传教育，弘扬社会主义核心价值观，普及矛盾纠纷多元化解法律知识，培育理性表达诉求、解决纠纷、依法维护合法权益的社会氛围。</w:t>
      </w:r>
    </w:p>
    <w:p w:rsidR="00AB76F3" w:rsidRPr="00830C4C" w:rsidRDefault="00AB76F3" w:rsidP="00830C4C">
      <w:pPr>
        <w:pStyle w:val="NormalWeb"/>
        <w:widowControl w:val="0"/>
        <w:tabs>
          <w:tab w:val="left" w:pos="1701"/>
          <w:tab w:val="left" w:pos="1985"/>
        </w:tabs>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黑体" w:hint="eastAsia"/>
          <w:color w:val="000000"/>
          <w:kern w:val="2"/>
          <w:sz w:val="32"/>
          <w:szCs w:val="32"/>
        </w:rPr>
        <w:t>第八条</w:t>
      </w:r>
      <w:r w:rsidRPr="00830C4C">
        <w:rPr>
          <w:rFonts w:eastAsia="仿宋_GB2312"/>
          <w:color w:val="000000"/>
          <w:sz w:val="32"/>
          <w:szCs w:val="32"/>
        </w:rPr>
        <w:t xml:space="preserve">  </w:t>
      </w:r>
      <w:r w:rsidRPr="00830C4C">
        <w:rPr>
          <w:rFonts w:eastAsia="仿宋_GB2312" w:hint="eastAsia"/>
          <w:color w:val="000000"/>
          <w:sz w:val="32"/>
          <w:szCs w:val="32"/>
        </w:rPr>
        <w:t>少数民族聚居</w:t>
      </w:r>
      <w:r w:rsidRPr="00830C4C">
        <w:rPr>
          <w:rFonts w:eastAsia="仿宋_GB2312" w:hint="eastAsia"/>
          <w:color w:val="000000"/>
          <w:kern w:val="2"/>
          <w:sz w:val="32"/>
          <w:szCs w:val="32"/>
        </w:rPr>
        <w:t>的地方在不违反法律法规的情况</w:t>
      </w:r>
      <w:r w:rsidRPr="00830C4C">
        <w:rPr>
          <w:rFonts w:eastAsia="仿宋_GB2312" w:hint="eastAsia"/>
          <w:color w:val="000000"/>
          <w:sz w:val="32"/>
          <w:szCs w:val="32"/>
        </w:rPr>
        <w:t>下可以按照少数民族风俗习惯开展矛盾纠纷化解工作。</w:t>
      </w:r>
    </w:p>
    <w:p w:rsidR="00AB76F3" w:rsidRPr="00830C4C" w:rsidRDefault="00AB76F3" w:rsidP="00830C4C">
      <w:pPr>
        <w:pStyle w:val="NormalWeb"/>
        <w:widowControl w:val="0"/>
        <w:tabs>
          <w:tab w:val="left" w:pos="1701"/>
          <w:tab w:val="left" w:pos="1985"/>
        </w:tabs>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第二章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化解主体及职责</w:t>
      </w:r>
    </w:p>
    <w:p w:rsidR="00AB76F3" w:rsidRPr="00830C4C" w:rsidRDefault="00AB76F3" w:rsidP="00830C4C">
      <w:pPr>
        <w:tabs>
          <w:tab w:val="left" w:pos="1985"/>
        </w:tabs>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第九条</w:t>
      </w:r>
      <w:r w:rsidRPr="00830C4C">
        <w:rPr>
          <w:rFonts w:ascii="宋体" w:eastAsia="仿宋_GB2312" w:hAnsi="宋体"/>
          <w:color w:val="000000"/>
          <w:sz w:val="32"/>
          <w:szCs w:val="32"/>
        </w:rPr>
        <w:t xml:space="preserve">  </w:t>
      </w:r>
      <w:r w:rsidRPr="00830C4C">
        <w:rPr>
          <w:rFonts w:ascii="宋体" w:eastAsia="仿宋_GB2312" w:hAnsi="宋体" w:hint="eastAsia"/>
          <w:bCs/>
          <w:color w:val="000000"/>
          <w:sz w:val="32"/>
          <w:szCs w:val="32"/>
        </w:rPr>
        <w:t>国家机关应当按照各自职责承担矛盾纠纷化解责任，坚持属地管理、谁主管谁负责，做好矛盾纠纷化解工作。</w:t>
      </w:r>
    </w:p>
    <w:p w:rsidR="00AB76F3" w:rsidRPr="00830C4C" w:rsidRDefault="00AB76F3" w:rsidP="00830C4C">
      <w:pPr>
        <w:tabs>
          <w:tab w:val="left" w:pos="2268"/>
        </w:tabs>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第十条</w:t>
      </w:r>
      <w:r w:rsidRPr="00830C4C">
        <w:rPr>
          <w:rFonts w:ascii="宋体" w:eastAsia="仿宋_GB2312" w:hAnsi="宋体"/>
          <w:bCs/>
          <w:color w:val="000000"/>
          <w:sz w:val="32"/>
          <w:szCs w:val="32"/>
        </w:rPr>
        <w:t xml:space="preserve">  </w:t>
      </w:r>
      <w:r w:rsidRPr="00830C4C">
        <w:rPr>
          <w:rFonts w:ascii="宋体" w:eastAsia="仿宋_GB2312" w:hAnsi="宋体" w:hint="eastAsia"/>
          <w:bCs/>
          <w:color w:val="000000"/>
          <w:sz w:val="32"/>
          <w:szCs w:val="32"/>
        </w:rPr>
        <w:t>县级以上人民政府应当加强矛盾纠纷多元化解工作的组织领导，将矛盾纠纷化解工作纳入有关法治建设规划，指导、督促有关部门履行矛盾纠纷化解工作职责，加强非诉讼与诉讼解决方式的衔接，制定鼓励社会组织、引导社会资源参与矛盾纠纷化解的政策措施，建立跨行政区域、跨部门、跨行业的协调会商机制，及时妥善处置矛盾纠纷。</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仿宋_GB2312" w:hAnsi="宋体" w:hint="eastAsia"/>
          <w:bCs/>
          <w:color w:val="000000"/>
          <w:sz w:val="32"/>
          <w:szCs w:val="32"/>
        </w:rPr>
        <w:t>县级以上人民政府有关部门应当做好职责范围内的矛盾纠纷化解工作，加强与其他部门和地区间矛盾纠纷化解工作衔接，依法开展行政调解、行政复议、行政裁决工作，指导本部门领域行业性、专业性人民调解组织建设。</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第十一条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乡（镇）人民政府、街道办事处负责辖区内的矛盾纠纷化解工作，健全矛盾纠纷源头发现和预防化解机制，组织协调辖区内相关单位、基层群众性自治组织、调解组织和个人等，开展矛盾纠纷预防、排查和化解工作。</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公安派出所、司法所应当依法主动开展矛盾纠纷化解工作。</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第十二条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统筹协调矛盾纠纷多元化解工作的机构应当加强矛盾纠纷多元化解的协调指导、督导检查、考核评估等工作，健全矛盾纠纷多元化解工作综合机制，统筹矛盾纠纷化解综合协调工作平台建设，促进多种化解途径有效衔接。</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第十三条</w:t>
      </w:r>
      <w:r w:rsidRPr="00830C4C">
        <w:rPr>
          <w:rFonts w:ascii="宋体" w:eastAsia="仿宋_GB2312" w:hAnsi="宋体"/>
          <w:color w:val="000000"/>
          <w:sz w:val="32"/>
          <w:szCs w:val="32"/>
        </w:rPr>
        <w:t xml:space="preserve">  </w:t>
      </w:r>
      <w:r w:rsidRPr="00830C4C">
        <w:rPr>
          <w:rFonts w:ascii="宋体" w:eastAsia="仿宋_GB2312" w:hAnsi="宋体" w:hint="eastAsia"/>
          <w:bCs/>
          <w:color w:val="000000"/>
          <w:sz w:val="32"/>
          <w:szCs w:val="32"/>
        </w:rPr>
        <w:t>司法行政部门负责矛盾纠纷化解政策研究，指导人民调解、行政调解等工作。加强人民调解组织网络化建设，会同有关部门培育行业性、专业性人民调解组织，完善多种调解机制建设，促进各类调解的衔接联动，推进公共法律服务体系建设，推动公证机构、律师事务所、基层法律服务所等法律服务机构和法律志愿者参与化解矛盾纠纷。</w:t>
      </w:r>
    </w:p>
    <w:p w:rsidR="00AB76F3" w:rsidRPr="00830C4C" w:rsidRDefault="00AB76F3" w:rsidP="00830C4C">
      <w:pPr>
        <w:tabs>
          <w:tab w:val="left" w:pos="2268"/>
        </w:tabs>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第十四条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人民法院应</w:t>
      </w:r>
      <w:r w:rsidRPr="00830C4C">
        <w:rPr>
          <w:rFonts w:ascii="宋体" w:eastAsia="仿宋_GB2312" w:hAnsi="宋体" w:hint="eastAsia"/>
          <w:color w:val="000000"/>
          <w:sz w:val="32"/>
          <w:szCs w:val="32"/>
        </w:rPr>
        <w:t>当</w:t>
      </w:r>
      <w:r w:rsidRPr="00830C4C">
        <w:rPr>
          <w:rFonts w:ascii="宋体" w:eastAsia="仿宋_GB2312" w:hAnsi="宋体" w:hint="eastAsia"/>
          <w:color w:val="000000"/>
          <w:kern w:val="0"/>
          <w:sz w:val="32"/>
          <w:szCs w:val="32"/>
        </w:rPr>
        <w:t>健全诉讼与非诉讼矛盾纠纷解决方式的衔接工作机制，完善诉前委派调解、委托调解与人民调解的衔接工作机制，推进与行政机关、调解组织、仲裁和公证机构在程序安排、效力确认、生效法律文书执行等方面的有机衔接，加强对人民调解的业务指导。</w:t>
      </w:r>
    </w:p>
    <w:p w:rsidR="00AB76F3" w:rsidRPr="00830C4C" w:rsidRDefault="00AB76F3" w:rsidP="00830C4C">
      <w:pPr>
        <w:tabs>
          <w:tab w:val="left" w:pos="2268"/>
        </w:tabs>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第十五条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人民检察院应当完善参与矛盾纠纷化解工作机制。加强检调对接、公益诉讼、刑事和解、行政争议实质性化解等工作。依法对在履行职责中发现行政机关违法行使职权和不行使职权的行为进行督促纠正。</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第十六条</w:t>
      </w:r>
      <w:r w:rsidRPr="00830C4C">
        <w:rPr>
          <w:rFonts w:ascii="宋体" w:eastAsia="仿宋_GB2312" w:hAnsi="宋体"/>
          <w:color w:val="000000"/>
          <w:sz w:val="32"/>
          <w:szCs w:val="32"/>
        </w:rPr>
        <w:t xml:space="preserve">  </w:t>
      </w:r>
      <w:r w:rsidRPr="00830C4C">
        <w:rPr>
          <w:rFonts w:ascii="宋体" w:eastAsia="仿宋_GB2312" w:hAnsi="宋体" w:hint="eastAsia"/>
          <w:color w:val="000000"/>
          <w:kern w:val="0"/>
          <w:sz w:val="32"/>
          <w:szCs w:val="32"/>
        </w:rPr>
        <w:t>公安机关依法</w:t>
      </w:r>
      <w:r w:rsidRPr="00830C4C">
        <w:rPr>
          <w:rFonts w:ascii="宋体" w:eastAsia="仿宋_GB2312" w:hAnsi="宋体" w:hint="eastAsia"/>
          <w:color w:val="000000"/>
          <w:sz w:val="32"/>
          <w:szCs w:val="32"/>
        </w:rPr>
        <w:t>履行社会治</w:t>
      </w:r>
      <w:r w:rsidRPr="00830C4C">
        <w:rPr>
          <w:rFonts w:ascii="宋体" w:eastAsia="仿宋_GB2312" w:hAnsi="宋体" w:hint="eastAsia"/>
          <w:color w:val="000000"/>
          <w:kern w:val="0"/>
          <w:sz w:val="32"/>
          <w:szCs w:val="32"/>
        </w:rPr>
        <w:t>安管理职责，在办理治安、交通事故的案件中，对符合和解、调解条件的，依</w:t>
      </w:r>
      <w:r w:rsidRPr="00830C4C">
        <w:rPr>
          <w:rFonts w:ascii="宋体" w:eastAsia="仿宋_GB2312" w:hAnsi="宋体" w:hint="eastAsia"/>
          <w:color w:val="000000"/>
          <w:sz w:val="32"/>
          <w:szCs w:val="32"/>
        </w:rPr>
        <w:t>法协调当事人和解、调解。</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bdr w:val="single" w:sz="4" w:space="0" w:color="000000"/>
        </w:rPr>
      </w:pPr>
      <w:r w:rsidRPr="00830C4C">
        <w:rPr>
          <w:rFonts w:ascii="宋体" w:eastAsia="黑体" w:hAnsi="宋体" w:hint="eastAsia"/>
          <w:color w:val="000000"/>
          <w:sz w:val="32"/>
          <w:szCs w:val="32"/>
        </w:rPr>
        <w:t>第十七条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信访部门应当完善基层信访工作机制，指导、督促有关单位依法开展信访工作。协调处理重要信访事项，会同有关部门按照规定分类处理信访诉求，推动信访事项办理与仲裁、行政复议、诉讼等有机衔接。</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第十八条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工会、共产主义青年团、妇女联合会、工商业联合会等人民团体应当根据各自职责参与矛盾纠纷化解工作。</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第十九条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调解、公证、仲裁、律师等行业协会应当加强行业自律，依法开展矛盾纠纷化解、权益维护、行业惩戒等工作，参与矛盾纠纷化解机制建设。</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第二十条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乡（镇）人民政府、街道办事处、村（居）民委员会依法设立的人民调解委员会调解民间纠纷，健全调解工作制度，及时、就地化解矛盾纠纷。</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第二十一条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行业协会、商会、民办非企业单位和其他组织可以依法设立行业性、专业性人民调解组织，调解成员之间、成员与其他主体之间的特定行业、专业领域的矛盾纠纷。</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仿宋_GB2312" w:hint="eastAsia"/>
          <w:color w:val="000000"/>
          <w:sz w:val="32"/>
          <w:szCs w:val="32"/>
        </w:rPr>
        <w:t>企业事业单位根据需要设立人民调解组织化解矛盾纠纷。</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黑体" w:hint="eastAsia"/>
          <w:color w:val="000000"/>
          <w:kern w:val="2"/>
          <w:sz w:val="32"/>
          <w:szCs w:val="32"/>
        </w:rPr>
        <w:t>第二十二条</w:t>
      </w:r>
      <w:r w:rsidRPr="00830C4C">
        <w:rPr>
          <w:rFonts w:eastAsia="仿宋_GB2312"/>
          <w:color w:val="000000"/>
          <w:sz w:val="32"/>
          <w:szCs w:val="32"/>
        </w:rPr>
        <w:t xml:space="preserve">  </w:t>
      </w:r>
      <w:r w:rsidRPr="00830C4C">
        <w:rPr>
          <w:rFonts w:eastAsia="仿宋_GB2312" w:hint="eastAsia"/>
          <w:color w:val="000000"/>
          <w:sz w:val="32"/>
          <w:szCs w:val="32"/>
        </w:rPr>
        <w:t>鼓励律师积极参与矛盾纠纷化解工作。在医疗纠纷、道路交通、劳动人事争议、消费者权益保护等领域可以根据需要设立律师调解组织。</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仿宋_GB2312" w:hint="eastAsia"/>
          <w:color w:val="000000"/>
          <w:sz w:val="32"/>
          <w:szCs w:val="32"/>
        </w:rPr>
        <w:t>支持政府法律顾问、公职律师依法参与行政调解工作。鼓励村（居）民委员会聘请律师或者法律工作者担任法律顾问，加强村（社区）矛盾纠纷化解。</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黑体" w:hint="eastAsia"/>
          <w:color w:val="000000"/>
          <w:kern w:val="2"/>
          <w:sz w:val="32"/>
          <w:szCs w:val="32"/>
        </w:rPr>
        <w:t>第二十三条</w:t>
      </w:r>
      <w:r w:rsidRPr="00830C4C">
        <w:rPr>
          <w:rFonts w:eastAsia="仿宋_GB2312"/>
          <w:color w:val="000000"/>
          <w:sz w:val="32"/>
          <w:szCs w:val="32"/>
        </w:rPr>
        <w:t xml:space="preserve">  </w:t>
      </w:r>
      <w:r w:rsidRPr="00830C4C">
        <w:rPr>
          <w:rFonts w:eastAsia="仿宋_GB2312" w:hint="eastAsia"/>
          <w:color w:val="000000"/>
          <w:sz w:val="32"/>
          <w:szCs w:val="32"/>
        </w:rPr>
        <w:t>鼓励和支持公道正派、热心调解、群众认可的社会人士参与矛盾纠纷化解。</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仿宋_GB2312" w:hint="eastAsia"/>
          <w:color w:val="000000"/>
          <w:sz w:val="32"/>
          <w:szCs w:val="32"/>
        </w:rPr>
        <w:t>鼓励具备条件的人民调解员和律师、基层法律服务工作者等专业人士、德高望重的社会人士等依托有关人民调解组织设立个人调解工作室，参与矛盾纠纷化解。</w:t>
      </w:r>
    </w:p>
    <w:p w:rsidR="00AB76F3" w:rsidRPr="00830C4C" w:rsidRDefault="00AB76F3" w:rsidP="00830C4C">
      <w:pPr>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830C4C">
        <w:rPr>
          <w:rFonts w:ascii="宋体" w:eastAsia="黑体" w:hAnsi="宋体" w:hint="eastAsia"/>
          <w:color w:val="000000"/>
          <w:sz w:val="32"/>
          <w:szCs w:val="32"/>
        </w:rPr>
        <w:t>第二十四条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边境地区应当建立完善边境矛盾纠纷多元化</w:t>
      </w:r>
      <w:r w:rsidRPr="00830C4C">
        <w:rPr>
          <w:rFonts w:ascii="宋体" w:eastAsia="仿宋_GB2312" w:hAnsi="宋体" w:hint="eastAsia"/>
          <w:snapToGrid w:val="0"/>
          <w:color w:val="000000"/>
          <w:kern w:val="32"/>
          <w:sz w:val="32"/>
          <w:szCs w:val="32"/>
        </w:rPr>
        <w:t>解机制，健全边境矛盾纠纷化解调解组织和服务机构，为边民纠纷、边境旅游、边境贸易等提供矛盾纠纷化解服务。</w:t>
      </w:r>
    </w:p>
    <w:p w:rsidR="00AB76F3" w:rsidRPr="00830C4C" w:rsidRDefault="00AB76F3" w:rsidP="00830C4C">
      <w:pPr>
        <w:topLinePunct/>
        <w:adjustRightInd w:val="0"/>
        <w:snapToGrid w:val="0"/>
        <w:spacing w:line="592" w:lineRule="exact"/>
        <w:ind w:firstLineChars="200" w:firstLine="640"/>
        <w:rPr>
          <w:rFonts w:ascii="宋体" w:eastAsia="仿宋_GB2312" w:hAnsi="宋体"/>
          <w:snapToGrid w:val="0"/>
          <w:color w:val="000000"/>
          <w:kern w:val="32"/>
          <w:sz w:val="32"/>
          <w:szCs w:val="32"/>
        </w:rPr>
      </w:pP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第三章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化解途径</w:t>
      </w: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第二十五条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国家机关、人民团体、企业事业单位、基层群众性自治组织和其他组织应当加强矛盾纠纷预防、排查和化解，健全信息共享、部门会商、联动协作等工作机制，依法及时妥善处置，防止矛盾纠纷扩大或者激化。对不属于其职责范围的，应当移送有关部门或者单位处理；涉及多个</w:t>
      </w:r>
      <w:r w:rsidRPr="00830C4C">
        <w:rPr>
          <w:rFonts w:ascii="宋体" w:eastAsia="仿宋_GB2312" w:hAnsi="宋体" w:hint="eastAsia"/>
          <w:color w:val="000000"/>
          <w:sz w:val="32"/>
          <w:szCs w:val="32"/>
        </w:rPr>
        <w:t>部门</w:t>
      </w:r>
      <w:r w:rsidRPr="00830C4C">
        <w:rPr>
          <w:rFonts w:ascii="宋体" w:eastAsia="仿宋_GB2312" w:hAnsi="宋体" w:hint="eastAsia"/>
          <w:color w:val="000000"/>
          <w:kern w:val="0"/>
          <w:sz w:val="32"/>
          <w:szCs w:val="32"/>
        </w:rPr>
        <w:t>或者单位的，由最先排查的部门或者单位提请统筹协调矛盾纠纷多元化解工作的机构协调处理。</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第二十六条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当事人可以依法自主选择下列矛盾纠纷化解途径：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（一）协商和解；</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（二）</w:t>
      </w:r>
      <w:r w:rsidRPr="00830C4C">
        <w:rPr>
          <w:rFonts w:ascii="宋体" w:eastAsia="仿宋_GB2312" w:hAnsi="宋体" w:hint="eastAsia"/>
          <w:color w:val="000000"/>
          <w:sz w:val="32"/>
          <w:szCs w:val="32"/>
        </w:rPr>
        <w:t>人民调解、行业性专业性调解、商事调解组织或者其他具有调解职能的组织和</w:t>
      </w:r>
      <w:r w:rsidRPr="00830C4C">
        <w:rPr>
          <w:rFonts w:ascii="宋体" w:eastAsia="仿宋_GB2312" w:hAnsi="宋体" w:hint="eastAsia"/>
          <w:bCs/>
          <w:color w:val="000000"/>
          <w:sz w:val="32"/>
          <w:szCs w:val="32"/>
        </w:rPr>
        <w:t>个人</w:t>
      </w:r>
      <w:r w:rsidRPr="00830C4C">
        <w:rPr>
          <w:rFonts w:ascii="宋体" w:eastAsia="仿宋_GB2312" w:hAnsi="宋体" w:hint="eastAsia"/>
          <w:color w:val="000000"/>
          <w:sz w:val="32"/>
          <w:szCs w:val="32"/>
        </w:rPr>
        <w:t>调解</w:t>
      </w:r>
      <w:r w:rsidRPr="00830C4C">
        <w:rPr>
          <w:rFonts w:ascii="宋体" w:eastAsia="仿宋_GB2312" w:hAnsi="宋体" w:hint="eastAsia"/>
          <w:color w:val="000000"/>
          <w:kern w:val="0"/>
          <w:sz w:val="32"/>
          <w:szCs w:val="32"/>
        </w:rPr>
        <w:t>；</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（三）行政调解、行政裁决、行政复议以及其他行政机关处理矛盾纠纷的方式；</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（四）公证；</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（五）仲裁；</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（六）诉讼；</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kern w:val="0"/>
          <w:sz w:val="32"/>
          <w:szCs w:val="32"/>
        </w:rPr>
        <w:t>（七</w:t>
      </w:r>
      <w:r w:rsidRPr="00830C4C">
        <w:rPr>
          <w:rFonts w:ascii="宋体" w:eastAsia="仿宋_GB2312" w:hAnsi="宋体" w:hint="eastAsia"/>
          <w:color w:val="000000"/>
          <w:sz w:val="32"/>
          <w:szCs w:val="32"/>
        </w:rPr>
        <w:t>）当事人达成的其他调处方式；</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sz w:val="32"/>
          <w:szCs w:val="32"/>
        </w:rPr>
        <w:t>（八）法律、行政法规规定的其他途径</w:t>
      </w:r>
      <w:r w:rsidRPr="00830C4C">
        <w:rPr>
          <w:rFonts w:ascii="宋体" w:eastAsia="仿宋_GB2312" w:hAnsi="宋体" w:hint="eastAsia"/>
          <w:color w:val="000000"/>
          <w:kern w:val="0"/>
          <w:sz w:val="32"/>
          <w:szCs w:val="32"/>
        </w:rPr>
        <w:t>。</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第二十七条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矛盾纠纷化解主体在受理矛盾纠纷时，应当依法向当事人告知矛盾纠纷化解方式、途径、成本和风险。鼓励和引导当事人在不违反法律法规的前提下，优先以非诉讼方式解决矛盾纠纷。</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第二十八条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鼓励当事人就矛盾纠纷先行协商，自愿、公平达成和解协议。</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应当事人邀请，人大代表、政协委员、有关调解组织、基层</w:t>
      </w:r>
    </w:p>
    <w:p w:rsidR="00AB76F3" w:rsidRPr="00830C4C" w:rsidRDefault="00AB76F3" w:rsidP="00830C4C">
      <w:pPr>
        <w:tabs>
          <w:tab w:val="left" w:pos="2552"/>
        </w:tabs>
        <w:topLinePunct/>
        <w:adjustRightInd w:val="0"/>
        <w:snapToGrid w:val="0"/>
        <w:spacing w:line="592" w:lineRule="exact"/>
        <w:rPr>
          <w:rFonts w:ascii="宋体" w:eastAsia="仿宋_GB2312" w:hAnsi="宋体"/>
          <w:color w:val="000000"/>
          <w:sz w:val="32"/>
          <w:szCs w:val="32"/>
        </w:rPr>
      </w:pPr>
      <w:r w:rsidRPr="00830C4C">
        <w:rPr>
          <w:rFonts w:ascii="宋体" w:eastAsia="仿宋_GB2312" w:hAnsi="宋体" w:hint="eastAsia"/>
          <w:color w:val="000000"/>
          <w:sz w:val="32"/>
          <w:szCs w:val="32"/>
        </w:rPr>
        <w:t>群众性自治组织、当事人所在单位或者其他第三方可以参与协商，提供专业意见，促成和解。</w:t>
      </w:r>
    </w:p>
    <w:p w:rsidR="00AB76F3" w:rsidRPr="00830C4C" w:rsidRDefault="00AB76F3" w:rsidP="00830C4C">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kern w:val="2"/>
          <w:sz w:val="32"/>
          <w:szCs w:val="32"/>
        </w:rPr>
      </w:pPr>
      <w:r w:rsidRPr="00830C4C">
        <w:rPr>
          <w:rFonts w:eastAsia="黑体" w:hint="eastAsia"/>
          <w:color w:val="000000"/>
          <w:kern w:val="2"/>
          <w:sz w:val="32"/>
          <w:szCs w:val="32"/>
        </w:rPr>
        <w:t>第二十九条</w:t>
      </w:r>
      <w:r w:rsidRPr="00830C4C">
        <w:rPr>
          <w:rFonts w:eastAsia="仿宋_GB2312"/>
          <w:color w:val="000000"/>
          <w:sz w:val="32"/>
          <w:szCs w:val="32"/>
        </w:rPr>
        <w:t xml:space="preserve">  </w:t>
      </w:r>
      <w:r w:rsidRPr="00830C4C">
        <w:rPr>
          <w:rFonts w:eastAsia="仿宋_GB2312" w:hint="eastAsia"/>
          <w:color w:val="000000"/>
          <w:kern w:val="2"/>
          <w:sz w:val="32"/>
          <w:szCs w:val="32"/>
        </w:rPr>
        <w:t>行政机关应当依法规范行政调解工作程序，加强消费者权益保护、交通损害赔偿、治安管理、环境污染、社会保障、劳动人事争议、房屋土地权益、知识产权等方面的行政调解，及时妥善化解矛盾纠纷。</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第三十条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行政机关应当加强行政裁决工作，提升行政裁决能力。依法健全完善行政裁决工作机制，明示行政裁决事项和行政裁决适用范围。</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第三十一条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行政复议机关应当依法健全优化行政复议审理工作机制，加强行政复议规范化、信息化、专业化建设。在行政复议过程中，对于可以依法和解、调解的事项，充分运用和解、调解方式化解矛盾纠纷。</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第三十二条</w:t>
      </w:r>
      <w:r w:rsidRPr="00830C4C">
        <w:rPr>
          <w:rFonts w:ascii="宋体" w:eastAsia="仿宋_GB2312" w:hAnsi="宋体"/>
          <w:bCs/>
          <w:color w:val="000000"/>
          <w:sz w:val="32"/>
          <w:szCs w:val="32"/>
        </w:rPr>
        <w:t xml:space="preserve">  </w:t>
      </w:r>
      <w:r w:rsidRPr="00830C4C">
        <w:rPr>
          <w:rFonts w:ascii="宋体" w:eastAsia="仿宋_GB2312" w:hAnsi="宋体" w:hint="eastAsia"/>
          <w:bCs/>
          <w:color w:val="000000"/>
          <w:sz w:val="32"/>
          <w:szCs w:val="32"/>
        </w:rPr>
        <w:t>人民法院在登记立案前，应当依法进行诉讼风险告知，引导当事人选择和解、调解等适宜的非诉讼解决方式，或者经当事人同意后委派给特邀调解组织、特邀调解员进行调解。</w:t>
      </w:r>
      <w:r w:rsidRPr="00830C4C">
        <w:rPr>
          <w:rFonts w:ascii="宋体" w:eastAsia="仿宋_GB2312" w:hAnsi="宋体" w:cs="仿宋" w:hint="eastAsia"/>
          <w:bCs/>
          <w:color w:val="000000"/>
          <w:sz w:val="32"/>
          <w:szCs w:val="32"/>
        </w:rPr>
        <w:t>当事人坚持以诉讼方式解决矛盾纠纷的，应当保障当事人的诉讼权益。</w:t>
      </w:r>
    </w:p>
    <w:p w:rsidR="00AB76F3" w:rsidRPr="00830C4C" w:rsidRDefault="00AB76F3" w:rsidP="00830C4C">
      <w:pPr>
        <w:topLinePunct/>
        <w:adjustRightInd w:val="0"/>
        <w:snapToGrid w:val="0"/>
        <w:spacing w:line="592" w:lineRule="exact"/>
        <w:ind w:firstLineChars="200" w:firstLine="640"/>
        <w:rPr>
          <w:rFonts w:ascii="宋体" w:eastAsia="仿宋_GB2312" w:hAnsi="宋体"/>
          <w:bCs/>
          <w:snapToGrid w:val="0"/>
          <w:color w:val="000000"/>
          <w:sz w:val="32"/>
          <w:szCs w:val="32"/>
        </w:rPr>
      </w:pPr>
      <w:r w:rsidRPr="00830C4C">
        <w:rPr>
          <w:rFonts w:ascii="宋体" w:eastAsia="仿宋_GB2312" w:hAnsi="宋体" w:hint="eastAsia"/>
          <w:bCs/>
          <w:snapToGrid w:val="0"/>
          <w:color w:val="000000"/>
          <w:sz w:val="32"/>
          <w:szCs w:val="32"/>
        </w:rPr>
        <w:t>人民法院在登记立案后，对适宜调解的案件，经当事人同意，可以由法官调解或者委托给特邀调解组织、特邀调解员进行调解。</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第三十三条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人民检察院在办理案件过程中，对符合法定条件的案件，可以主持调解，或者建议当事人采取和解、向调解组织申请调解等方式化解矛盾纠纷。对调解、和解不成的案件，应当及时依法处理。</w:t>
      </w:r>
    </w:p>
    <w:p w:rsidR="00AB76F3" w:rsidRPr="00830C4C" w:rsidRDefault="00AB76F3" w:rsidP="00830C4C">
      <w:pPr>
        <w:tabs>
          <w:tab w:val="left" w:pos="2410"/>
          <w:tab w:val="left" w:pos="2552"/>
        </w:tabs>
        <w:topLinePunct/>
        <w:adjustRightInd w:val="0"/>
        <w:snapToGrid w:val="0"/>
        <w:spacing w:line="592" w:lineRule="exact"/>
        <w:ind w:firstLineChars="200" w:firstLine="640"/>
        <w:rPr>
          <w:rFonts w:ascii="宋体" w:eastAsia="仿宋_GB2312" w:hAnsi="宋体"/>
          <w:color w:val="000000"/>
          <w:sz w:val="32"/>
          <w:szCs w:val="32"/>
          <w:bdr w:val="single" w:sz="4" w:space="0" w:color="000000"/>
        </w:rPr>
      </w:pPr>
      <w:r w:rsidRPr="00830C4C">
        <w:rPr>
          <w:rFonts w:ascii="宋体" w:eastAsia="黑体" w:hAnsi="宋体" w:hint="eastAsia"/>
          <w:color w:val="000000"/>
          <w:sz w:val="32"/>
          <w:szCs w:val="32"/>
        </w:rPr>
        <w:t>第三十四条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公证机构根据当事人申请，依法对民商事等矛盾纠纷进行调解。</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鼓励、支持公证机构参与公安派出所和人民法院的调解工作。</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第三十五条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仲裁机构应当建立完善仲裁调解工作机制，提高仲裁效能，依法及时化解合同和其他财产权益纠纷、农村土地承包经营纠纷、劳动人事争议。</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第四章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衔接联动</w:t>
      </w: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第三十六条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kern w:val="0"/>
          <w:sz w:val="32"/>
          <w:szCs w:val="32"/>
        </w:rPr>
        <w:t>当事人应当按照约定履行自愿达成的和解、调解协议，相关调解组织应当引导、督促当事人自觉履行调解协议。</w:t>
      </w:r>
    </w:p>
    <w:p w:rsidR="00AB76F3" w:rsidRPr="00830C4C" w:rsidRDefault="00AB76F3" w:rsidP="00830C4C">
      <w:pPr>
        <w:tabs>
          <w:tab w:val="left" w:pos="2268"/>
        </w:tabs>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第三十七条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行政机关应当健全完善行政调解与人民调解、司法调解衔接联动措施，畅通对接渠道。对行政调解不能达成协议的，依法及时进行处理。</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snapToGrid w:val="0"/>
          <w:color w:val="000000"/>
          <w:sz w:val="32"/>
          <w:szCs w:val="32"/>
        </w:rPr>
      </w:pPr>
      <w:r w:rsidRPr="00830C4C">
        <w:rPr>
          <w:rFonts w:ascii="宋体" w:eastAsia="黑体" w:hAnsi="宋体" w:hint="eastAsia"/>
          <w:color w:val="000000"/>
          <w:sz w:val="32"/>
          <w:szCs w:val="32"/>
        </w:rPr>
        <w:t>第三十八条</w:t>
      </w:r>
      <w:r w:rsidRPr="00830C4C">
        <w:rPr>
          <w:rFonts w:ascii="宋体" w:eastAsia="仿宋_GB2312" w:hAnsi="宋体"/>
          <w:color w:val="000000"/>
          <w:kern w:val="0"/>
          <w:sz w:val="32"/>
          <w:szCs w:val="32"/>
        </w:rPr>
        <w:t xml:space="preserve">  </w:t>
      </w:r>
      <w:r w:rsidRPr="00830C4C">
        <w:rPr>
          <w:rFonts w:ascii="宋体" w:eastAsia="仿宋_GB2312" w:hAnsi="宋体" w:hint="eastAsia"/>
          <w:color w:val="000000"/>
          <w:sz w:val="32"/>
          <w:szCs w:val="32"/>
        </w:rPr>
        <w:t>公安机关建立人民调解与“</w:t>
      </w:r>
      <w:r w:rsidRPr="00830C4C">
        <w:rPr>
          <w:rFonts w:ascii="宋体" w:eastAsia="仿宋_GB2312" w:hAnsi="宋体"/>
          <w:color w:val="000000"/>
          <w:sz w:val="32"/>
          <w:szCs w:val="32"/>
        </w:rPr>
        <w:t>110</w:t>
      </w:r>
      <w:r w:rsidRPr="00830C4C">
        <w:rPr>
          <w:rFonts w:ascii="宋体" w:eastAsia="仿宋_GB2312" w:hAnsi="宋体" w:hint="eastAsia"/>
          <w:color w:val="000000"/>
          <w:sz w:val="32"/>
          <w:szCs w:val="32"/>
        </w:rPr>
        <w:t>”非警务警情</w:t>
      </w:r>
      <w:r w:rsidRPr="00830C4C">
        <w:rPr>
          <w:rFonts w:ascii="宋体" w:eastAsia="仿宋_GB2312" w:hAnsi="宋体" w:hint="eastAsia"/>
          <w:snapToGrid w:val="0"/>
          <w:color w:val="000000"/>
          <w:sz w:val="32"/>
          <w:szCs w:val="32"/>
        </w:rPr>
        <w:t>对接分流机制，将适合人民调解的矛盾纠纷分流至人民调解组织进行调解。</w:t>
      </w:r>
    </w:p>
    <w:p w:rsidR="00AB76F3" w:rsidRPr="00830C4C" w:rsidRDefault="00AB76F3" w:rsidP="00830C4C">
      <w:pPr>
        <w:pStyle w:val="CommentText"/>
        <w:tabs>
          <w:tab w:val="left" w:pos="2694"/>
        </w:tabs>
        <w:topLinePunct/>
        <w:adjustRightInd w:val="0"/>
        <w:snapToGrid w:val="0"/>
        <w:spacing w:line="592" w:lineRule="exact"/>
        <w:ind w:firstLineChars="200" w:firstLine="640"/>
        <w:jc w:val="both"/>
        <w:rPr>
          <w:rFonts w:ascii="宋体" w:eastAsia="仿宋_GB2312" w:hAnsi="宋体"/>
          <w:color w:val="000000"/>
          <w:sz w:val="32"/>
          <w:szCs w:val="32"/>
        </w:rPr>
      </w:pPr>
      <w:r w:rsidRPr="00830C4C">
        <w:rPr>
          <w:rFonts w:ascii="宋体" w:eastAsia="黑体" w:hAnsi="宋体" w:hint="eastAsia"/>
          <w:color w:val="000000"/>
          <w:sz w:val="32"/>
          <w:szCs w:val="32"/>
        </w:rPr>
        <w:t>第三十九条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经行政机关、人民调解组织、</w:t>
      </w:r>
      <w:r w:rsidRPr="00830C4C">
        <w:rPr>
          <w:rFonts w:ascii="宋体" w:eastAsia="仿宋_GB2312" w:hAnsi="宋体" w:hint="eastAsia"/>
          <w:snapToGrid w:val="0"/>
          <w:color w:val="000000"/>
          <w:sz w:val="32"/>
          <w:szCs w:val="32"/>
        </w:rPr>
        <w:t>行业性专业性调解组织、商事调解组织或者其他具有调解职能的组织调解达成的具有民事合同性质的协议，以及在登记立案前由人民</w:t>
      </w:r>
      <w:r w:rsidRPr="00830C4C">
        <w:rPr>
          <w:rFonts w:ascii="宋体" w:eastAsia="仿宋_GB2312" w:hAnsi="宋体" w:hint="eastAsia"/>
          <w:color w:val="000000"/>
          <w:sz w:val="32"/>
          <w:szCs w:val="32"/>
        </w:rPr>
        <w:t>法院委派给特邀调解组织、特邀调解员调解达成的协议，当事人可以依法向有管辖权的人民法院申请司法确认。</w:t>
      </w:r>
    </w:p>
    <w:p w:rsidR="00AB76F3" w:rsidRPr="00830C4C" w:rsidRDefault="00AB76F3" w:rsidP="00830C4C">
      <w:pPr>
        <w:pStyle w:val="CommentText"/>
        <w:topLinePunct/>
        <w:adjustRightInd w:val="0"/>
        <w:snapToGrid w:val="0"/>
        <w:spacing w:line="592" w:lineRule="exact"/>
        <w:ind w:firstLineChars="200" w:firstLine="640"/>
        <w:jc w:val="both"/>
        <w:rPr>
          <w:rFonts w:ascii="宋体" w:eastAsia="仿宋_GB2312" w:hAnsi="宋体"/>
          <w:color w:val="000000"/>
          <w:sz w:val="32"/>
          <w:szCs w:val="32"/>
        </w:rPr>
      </w:pPr>
      <w:r w:rsidRPr="00830C4C">
        <w:rPr>
          <w:rFonts w:ascii="宋体" w:eastAsia="仿宋_GB2312" w:hAnsi="宋体" w:hint="eastAsia"/>
          <w:color w:val="000000"/>
          <w:sz w:val="32"/>
          <w:szCs w:val="32"/>
        </w:rPr>
        <w:t>人民法院加强与辖区内行政机关和调解组织的对接，完善相关审查工作程序，依法对调解协议进行法律审查和效力确认。</w:t>
      </w:r>
    </w:p>
    <w:p w:rsidR="00AB76F3" w:rsidRPr="00830C4C" w:rsidRDefault="00AB76F3" w:rsidP="00830C4C">
      <w:pPr>
        <w:topLinePunct/>
        <w:adjustRightInd w:val="0"/>
        <w:snapToGrid w:val="0"/>
        <w:spacing w:line="592" w:lineRule="exact"/>
        <w:ind w:firstLineChars="200" w:firstLine="640"/>
        <w:rPr>
          <w:rFonts w:ascii="宋体" w:eastAsia="仿宋_GB2312" w:hAnsi="宋体"/>
          <w:bCs/>
          <w:snapToGrid w:val="0"/>
          <w:color w:val="000000"/>
          <w:sz w:val="32"/>
          <w:szCs w:val="32"/>
        </w:rPr>
      </w:pPr>
      <w:r w:rsidRPr="00830C4C">
        <w:rPr>
          <w:rFonts w:ascii="宋体" w:eastAsia="黑体" w:hAnsi="宋体" w:hint="eastAsia"/>
          <w:color w:val="000000"/>
          <w:sz w:val="32"/>
          <w:szCs w:val="32"/>
        </w:rPr>
        <w:t>第四十条</w:t>
      </w:r>
      <w:r w:rsidRPr="00830C4C">
        <w:rPr>
          <w:rFonts w:ascii="宋体" w:eastAsia="仿宋_GB2312" w:hAnsi="宋体"/>
          <w:snapToGrid w:val="0"/>
          <w:color w:val="000000"/>
          <w:sz w:val="32"/>
          <w:szCs w:val="32"/>
        </w:rPr>
        <w:t xml:space="preserve">  </w:t>
      </w:r>
      <w:r w:rsidRPr="00830C4C">
        <w:rPr>
          <w:rFonts w:ascii="宋体" w:eastAsia="仿宋_GB2312" w:hAnsi="宋体" w:hint="eastAsia"/>
          <w:snapToGrid w:val="0"/>
          <w:color w:val="000000"/>
          <w:sz w:val="32"/>
          <w:szCs w:val="32"/>
        </w:rPr>
        <w:t>信访部门收到信访事项，应当依法甄别处理，对应当由仲裁、行政裁决、行政复议、诉讼、检察监督等法定程序解决的事项，告知信访人按照相应程序办理。</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第四十一条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当事人可以根据仲裁协议，依法申请仲裁机构进行仲裁裁决。</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具有给付内容、债权债务关系明确、载明债务人愿意接受强制执行承诺的和解、调解协议，当事人可以依法向公证机构申请办理具有强制执行效力的公证债权文书。</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仿宋_GB2312" w:hAnsi="宋体" w:hint="eastAsia"/>
          <w:color w:val="000000"/>
          <w:kern w:val="0"/>
          <w:sz w:val="32"/>
          <w:szCs w:val="32"/>
        </w:rPr>
        <w:t>对以金钱、有价证券为给付内容的和解、调解协议，当事人可以依法向有管辖权的人民法院申请支付令。</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第五章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保障措施</w:t>
      </w: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kern w:val="0"/>
          <w:sz w:val="32"/>
          <w:szCs w:val="32"/>
        </w:rPr>
      </w:pPr>
      <w:r w:rsidRPr="00830C4C">
        <w:rPr>
          <w:rFonts w:ascii="宋体" w:eastAsia="黑体" w:hAnsi="宋体" w:hint="eastAsia"/>
          <w:color w:val="000000"/>
          <w:sz w:val="32"/>
          <w:szCs w:val="32"/>
        </w:rPr>
        <w:t>第四十二条</w:t>
      </w:r>
      <w:r w:rsidRPr="00830C4C">
        <w:rPr>
          <w:rFonts w:ascii="宋体" w:eastAsia="仿宋_GB2312" w:hAnsi="宋体" w:cs="黑体"/>
          <w:color w:val="000000"/>
          <w:sz w:val="32"/>
          <w:szCs w:val="32"/>
        </w:rPr>
        <w:t xml:space="preserve">  </w:t>
      </w:r>
      <w:r w:rsidRPr="00830C4C">
        <w:rPr>
          <w:rFonts w:ascii="宋体" w:eastAsia="仿宋_GB2312" w:hAnsi="宋体" w:hint="eastAsia"/>
          <w:color w:val="000000"/>
          <w:kern w:val="0"/>
          <w:sz w:val="32"/>
          <w:szCs w:val="32"/>
        </w:rPr>
        <w:t>州（市）、县（市、区）、乡镇（街道）、村（社区）应当加强矛盾纠纷多元化解综合性服务平台建设，推动与同级综治中心融合发展，整合资源力量，为当事人提供一站式纠纷化解服务。</w:t>
      </w:r>
    </w:p>
    <w:p w:rsidR="00AB76F3" w:rsidRPr="00830C4C" w:rsidRDefault="00AB76F3" w:rsidP="00830C4C">
      <w:pPr>
        <w:tabs>
          <w:tab w:val="left" w:pos="2694"/>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第四十三条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县级以上人民政府应当为矛盾纠纷多元化解工作提供必要的经费支持，建立与经济发展相适应的矛盾纠纷多元化解工作经费保障机制，按照预算管理的规定将矛盾纠纷多元化解工作经费纳入部门预算予以保障。</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第四十四条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符合政府购买服务主体资格的各级国家机关，可以通过政府购买服务等方式，支持有条件的社会组织化解矛盾纠纷，所需服务事项纳入政府购买服务指导性目录。</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第四十五条</w:t>
      </w:r>
      <w:r w:rsidRPr="00830C4C">
        <w:rPr>
          <w:rFonts w:ascii="宋体" w:eastAsia="仿宋_GB2312" w:hAnsi="宋体"/>
          <w:bCs/>
          <w:color w:val="000000"/>
          <w:sz w:val="32"/>
          <w:szCs w:val="32"/>
        </w:rPr>
        <w:t xml:space="preserve">  </w:t>
      </w:r>
      <w:r w:rsidRPr="00830C4C">
        <w:rPr>
          <w:rFonts w:ascii="宋体" w:eastAsia="仿宋_GB2312" w:hAnsi="宋体" w:hint="eastAsia"/>
          <w:bCs/>
          <w:color w:val="000000"/>
          <w:sz w:val="32"/>
          <w:szCs w:val="32"/>
        </w:rPr>
        <w:t>有关国家机关、人民团体和其他组织应当优化调解员队伍结构，推动调解员专业化建设，发展调解工作志愿者队伍，完善调解员培训机制。</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仿宋_GB2312" w:hAnsi="宋体" w:hint="eastAsia"/>
          <w:bCs/>
          <w:color w:val="000000"/>
          <w:sz w:val="32"/>
          <w:szCs w:val="32"/>
        </w:rPr>
        <w:t>鼓励社会力量开办调解员培训机构。</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仿宋_GB2312" w:hAnsi="宋体" w:hint="eastAsia"/>
          <w:bCs/>
          <w:color w:val="000000"/>
          <w:sz w:val="32"/>
          <w:szCs w:val="32"/>
        </w:rPr>
        <w:t>鼓励高等院校加强矛盾纠纷多元化解理论研究和人才培养。</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r w:rsidRPr="00830C4C">
        <w:rPr>
          <w:rFonts w:ascii="宋体" w:eastAsia="黑体" w:hAnsi="宋体" w:hint="eastAsia"/>
          <w:color w:val="000000"/>
          <w:sz w:val="32"/>
          <w:szCs w:val="32"/>
        </w:rPr>
        <w:t>第四十六条</w:t>
      </w:r>
      <w:r w:rsidRPr="00830C4C">
        <w:rPr>
          <w:rFonts w:ascii="宋体" w:eastAsia="仿宋_GB2312" w:hAnsi="宋体"/>
          <w:bCs/>
          <w:color w:val="000000"/>
          <w:sz w:val="32"/>
          <w:szCs w:val="32"/>
        </w:rPr>
        <w:t xml:space="preserve">  </w:t>
      </w:r>
      <w:r w:rsidRPr="00830C4C">
        <w:rPr>
          <w:rFonts w:ascii="宋体" w:eastAsia="仿宋_GB2312" w:hAnsi="宋体" w:hint="eastAsia"/>
          <w:bCs/>
          <w:color w:val="000000"/>
          <w:sz w:val="32"/>
          <w:szCs w:val="32"/>
        </w:rPr>
        <w:t>加强矛盾纠纷化解信息化建设。支持矛盾纠纷化解主体通过在线咨询、在线协商、在线调解、在线确认等方式，逐步实现网上化解矛盾纠纷。</w:t>
      </w:r>
    </w:p>
    <w:p w:rsidR="00AB76F3" w:rsidRPr="00830C4C" w:rsidRDefault="00AB76F3" w:rsidP="00830C4C">
      <w:pPr>
        <w:topLinePunct/>
        <w:adjustRightInd w:val="0"/>
        <w:snapToGrid w:val="0"/>
        <w:spacing w:line="592" w:lineRule="exact"/>
        <w:ind w:firstLineChars="200" w:firstLine="640"/>
        <w:rPr>
          <w:rFonts w:ascii="宋体" w:eastAsia="仿宋_GB2312" w:hAnsi="宋体"/>
          <w:bCs/>
          <w:color w:val="000000"/>
          <w:sz w:val="32"/>
          <w:szCs w:val="32"/>
        </w:rPr>
      </w:pP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第六章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监督管理</w:t>
      </w: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第四十七条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统筹协调矛盾纠纷多元化解工作的机构应当把矛盾纠纷多元化解工作纳入相关考评内容。</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各级人民政府应当将矛盾纠纷多元化解工作纳入年度工作考评。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第四十八条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司法行政部门、有关行业主管部门应当建立健全调解组织名册管理制度，加强对调解组织和调解员的监督管理。</w:t>
      </w:r>
    </w:p>
    <w:p w:rsidR="00AB76F3" w:rsidRPr="00830C4C" w:rsidRDefault="00AB76F3" w:rsidP="00830C4C">
      <w:pPr>
        <w:tabs>
          <w:tab w:val="left" w:pos="2552"/>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经民政部门登记的调解类社会组织，业务主管部门和民政部门应当依法监督管理。</w:t>
      </w:r>
    </w:p>
    <w:p w:rsidR="00AB76F3" w:rsidRPr="00830C4C" w:rsidRDefault="00AB76F3" w:rsidP="00830C4C">
      <w:pPr>
        <w:pStyle w:val="NormalWeb"/>
        <w:widowControl w:val="0"/>
        <w:shd w:val="clear" w:color="auto" w:fill="FFFFFF"/>
        <w:tabs>
          <w:tab w:val="left" w:pos="2552"/>
        </w:tabs>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830C4C">
        <w:rPr>
          <w:rFonts w:eastAsia="黑体" w:hint="eastAsia"/>
          <w:color w:val="000000"/>
          <w:kern w:val="2"/>
          <w:sz w:val="32"/>
          <w:szCs w:val="32"/>
        </w:rPr>
        <w:t>第四十九条</w:t>
      </w:r>
      <w:r w:rsidRPr="00830C4C">
        <w:rPr>
          <w:rFonts w:eastAsia="仿宋_GB2312"/>
          <w:color w:val="000000"/>
          <w:sz w:val="32"/>
          <w:szCs w:val="32"/>
        </w:rPr>
        <w:t xml:space="preserve">  </w:t>
      </w:r>
      <w:r w:rsidRPr="00830C4C">
        <w:rPr>
          <w:rFonts w:eastAsia="仿宋_GB2312" w:hint="eastAsia"/>
          <w:color w:val="000000"/>
          <w:sz w:val="32"/>
          <w:szCs w:val="32"/>
        </w:rPr>
        <w:t>各级人民政府及其部门、人民法院、人民检察院以及有关人民团体、基层群众性自治组织、其他组织开展矛盾纠纷多元化解工作应当自觉接受社会监督。</w:t>
      </w:r>
    </w:p>
    <w:p w:rsidR="00AB76F3" w:rsidRPr="00830C4C" w:rsidRDefault="00AB76F3" w:rsidP="00830C4C">
      <w:pPr>
        <w:tabs>
          <w:tab w:val="left" w:pos="1418"/>
          <w:tab w:val="left" w:pos="2694"/>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第五十条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人民法院可以通过依法提出司法建议和行政审判白皮书、人民检察院可以通过依法提出检察建议等形式，对执法办案中发现的有关矛盾纠纷化解的问题提出建议。</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第五十一条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县级以上人民代表大会及其常务委员会通过执法检查、听取审议专项工作报告、代表视察、专题调研、专题询问等方式，对同级人民政府、人民法院、人民检察院履行矛盾纠纷多元化解工作职责情况进行监督。</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第五十二条</w:t>
      </w:r>
      <w:r w:rsidRPr="00830C4C">
        <w:rPr>
          <w:rFonts w:ascii="宋体" w:eastAsia="仿宋_GB2312" w:hAnsi="宋体"/>
          <w:color w:val="000000"/>
          <w:sz w:val="32"/>
          <w:szCs w:val="32"/>
        </w:rPr>
        <w:t xml:space="preserve"> </w:t>
      </w:r>
      <w:r w:rsidRPr="00830C4C">
        <w:rPr>
          <w:rFonts w:ascii="宋体" w:eastAsia="仿宋_GB2312" w:hAnsi="宋体"/>
          <w:bCs/>
          <w:color w:val="000000"/>
          <w:sz w:val="32"/>
          <w:szCs w:val="32"/>
        </w:rPr>
        <w:t xml:space="preserve"> </w:t>
      </w:r>
      <w:r w:rsidRPr="00830C4C">
        <w:rPr>
          <w:rFonts w:ascii="宋体" w:eastAsia="仿宋_GB2312" w:hAnsi="宋体" w:hint="eastAsia"/>
          <w:color w:val="000000"/>
          <w:sz w:val="32"/>
          <w:szCs w:val="32"/>
        </w:rPr>
        <w:t>各级人民政府及其部门、人民法院、人民检察院以及有关人民团体、基层群众性自治组织、其他组织有下列行为之一的，由有关主管机关责令改正；拒不改正或者造成严重后果的，对直接负责的主管人员和其他直接责任人员依法追究相应责任：</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（一）未按规定建立或者落实矛盾纠纷化解机制，未明确矛盾纠纷多元化解责任承办工作机构和人员的；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（二）未按规定履行职责，导致发生影响社会稳定的案（事）件的；</w:t>
      </w:r>
    </w:p>
    <w:p w:rsidR="00AB76F3" w:rsidRPr="00830C4C" w:rsidRDefault="00AB76F3" w:rsidP="00830C4C">
      <w:pPr>
        <w:tabs>
          <w:tab w:val="left" w:pos="1418"/>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（三）负有化解矛盾纠纷职责，无正当理由，拒不受理矛盾纠纷化解申请的；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（四）化解矛盾纠纷不及时，没有采取有效措施，造成严重后果的；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（五）未履行本条例规定的其他义务的。</w:t>
      </w:r>
    </w:p>
    <w:p w:rsidR="00AB76F3" w:rsidRPr="00830C4C" w:rsidRDefault="00AB76F3" w:rsidP="00830C4C">
      <w:pPr>
        <w:tabs>
          <w:tab w:val="left" w:pos="1560"/>
        </w:tabs>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黑体" w:hAnsi="宋体" w:hint="eastAsia"/>
          <w:color w:val="000000"/>
          <w:sz w:val="32"/>
          <w:szCs w:val="32"/>
        </w:rPr>
        <w:t>第五十三条</w:t>
      </w:r>
      <w:r w:rsidRPr="00830C4C">
        <w:rPr>
          <w:rFonts w:ascii="宋体" w:eastAsia="仿宋_GB2312" w:hAnsi="宋体"/>
          <w:color w:val="000000"/>
          <w:sz w:val="32"/>
          <w:szCs w:val="32"/>
        </w:rPr>
        <w:t xml:space="preserve">  </w:t>
      </w:r>
      <w:r w:rsidRPr="00830C4C">
        <w:rPr>
          <w:rFonts w:ascii="宋体" w:eastAsia="仿宋_GB2312" w:hAnsi="宋体" w:hint="eastAsia"/>
          <w:color w:val="000000"/>
          <w:sz w:val="32"/>
          <w:szCs w:val="32"/>
        </w:rPr>
        <w:t>调解员在调解工作中有下列行为之一的，由其主管部门或者所在的调解组织给予批评教育、责令改正；情节严重的，由推选或者聘任单位予以罢免或者解聘；造成严重后果的，依法追究法律责任</w:t>
      </w:r>
      <w:r w:rsidRPr="00830C4C">
        <w:rPr>
          <w:rFonts w:ascii="宋体" w:eastAsia="仿宋_GB2312" w:hAnsi="宋体"/>
          <w:color w:val="000000"/>
          <w:sz w:val="32"/>
          <w:szCs w:val="32"/>
        </w:rPr>
        <w:t>:</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（一）故意偏袒一方当事人的；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（二）侮辱、恐吓当事人的；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（三）收受、索取当事人财物或者牟取其他不正当利益的；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r w:rsidRPr="00830C4C">
        <w:rPr>
          <w:rFonts w:ascii="宋体" w:eastAsia="仿宋_GB2312" w:hAnsi="宋体" w:hint="eastAsia"/>
          <w:color w:val="000000"/>
          <w:sz w:val="32"/>
          <w:szCs w:val="32"/>
        </w:rPr>
        <w:t>（四）泄露国家秘密、当事人个人隐私或者商业秘密的。</w:t>
      </w:r>
    </w:p>
    <w:p w:rsidR="00AB76F3" w:rsidRPr="00830C4C" w:rsidRDefault="00AB76F3" w:rsidP="00830C4C">
      <w:pPr>
        <w:topLinePunct/>
        <w:adjustRightInd w:val="0"/>
        <w:snapToGrid w:val="0"/>
        <w:spacing w:line="592" w:lineRule="exact"/>
        <w:ind w:firstLineChars="200" w:firstLine="640"/>
        <w:rPr>
          <w:rFonts w:ascii="宋体" w:eastAsia="仿宋_GB2312" w:hAnsi="宋体"/>
          <w:color w:val="000000"/>
          <w:sz w:val="32"/>
          <w:szCs w:val="32"/>
        </w:rPr>
      </w:pPr>
    </w:p>
    <w:p w:rsidR="00AB76F3" w:rsidRPr="00830C4C" w:rsidRDefault="00AB76F3" w:rsidP="00830C4C">
      <w:pPr>
        <w:topLinePunct/>
        <w:adjustRightInd w:val="0"/>
        <w:snapToGrid w:val="0"/>
        <w:spacing w:line="592" w:lineRule="exact"/>
        <w:jc w:val="center"/>
        <w:rPr>
          <w:rFonts w:ascii="宋体" w:eastAsia="黑体" w:hAnsi="宋体"/>
          <w:color w:val="000000"/>
          <w:sz w:val="32"/>
          <w:szCs w:val="32"/>
        </w:rPr>
      </w:pPr>
      <w:r w:rsidRPr="00830C4C">
        <w:rPr>
          <w:rFonts w:ascii="宋体" w:eastAsia="黑体" w:hAnsi="宋体" w:hint="eastAsia"/>
          <w:color w:val="000000"/>
          <w:sz w:val="32"/>
          <w:szCs w:val="32"/>
        </w:rPr>
        <w:t>第七章</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附</w:t>
      </w:r>
      <w:r w:rsidRPr="00830C4C">
        <w:rPr>
          <w:rFonts w:ascii="宋体" w:eastAsia="黑体" w:hAnsi="宋体"/>
          <w:color w:val="000000"/>
          <w:sz w:val="32"/>
          <w:szCs w:val="32"/>
        </w:rPr>
        <w:t xml:space="preserve">  </w:t>
      </w:r>
      <w:r w:rsidRPr="00830C4C">
        <w:rPr>
          <w:rFonts w:ascii="宋体" w:eastAsia="黑体" w:hAnsi="宋体" w:hint="eastAsia"/>
          <w:color w:val="000000"/>
          <w:sz w:val="32"/>
          <w:szCs w:val="32"/>
        </w:rPr>
        <w:t>则</w:t>
      </w:r>
    </w:p>
    <w:p w:rsidR="00AB76F3" w:rsidRPr="00830C4C" w:rsidRDefault="00AB76F3" w:rsidP="005D6FDA">
      <w:pPr>
        <w:topLinePunct/>
        <w:adjustRightInd w:val="0"/>
        <w:snapToGrid w:val="0"/>
        <w:spacing w:line="592" w:lineRule="exact"/>
        <w:jc w:val="center"/>
        <w:rPr>
          <w:rFonts w:ascii="宋体" w:eastAsia="黑体" w:hAnsi="宋体"/>
          <w:color w:val="000000"/>
          <w:sz w:val="32"/>
          <w:szCs w:val="32"/>
        </w:rPr>
      </w:pPr>
    </w:p>
    <w:p w:rsidR="00AB76F3" w:rsidRPr="00212734" w:rsidRDefault="00AB76F3" w:rsidP="005D6FDA">
      <w:pPr>
        <w:pStyle w:val="PlainText"/>
        <w:tabs>
          <w:tab w:val="left" w:pos="8222"/>
          <w:tab w:val="left" w:pos="8364"/>
        </w:tabs>
        <w:topLinePunct/>
        <w:ind w:firstLineChars="100" w:firstLine="320"/>
        <w:rPr>
          <w:rFonts w:eastAsia="仿宋_GB2312" w:hAnsi="宋体"/>
          <w:snapToGrid w:val="0"/>
          <w:sz w:val="28"/>
          <w:szCs w:val="28"/>
        </w:rPr>
      </w:pPr>
      <w:r w:rsidRPr="00830C4C">
        <w:rPr>
          <w:rFonts w:eastAsia="黑体" w:hAnsi="宋体" w:hint="eastAsia"/>
          <w:color w:val="000000"/>
          <w:sz w:val="32"/>
          <w:szCs w:val="32"/>
        </w:rPr>
        <w:t>第五十四条</w:t>
      </w:r>
      <w:r w:rsidRPr="00830C4C">
        <w:rPr>
          <w:rFonts w:eastAsia="仿宋_GB2312" w:hAnsi="宋体"/>
          <w:color w:val="000000"/>
          <w:sz w:val="32"/>
          <w:szCs w:val="32"/>
        </w:rPr>
        <w:t xml:space="preserve">  </w:t>
      </w:r>
      <w:r w:rsidRPr="00830C4C">
        <w:rPr>
          <w:rFonts w:eastAsia="仿宋_GB2312" w:hAnsi="宋体" w:hint="eastAsia"/>
          <w:color w:val="000000"/>
          <w:sz w:val="32"/>
          <w:szCs w:val="32"/>
        </w:rPr>
        <w:t>本条例自</w:t>
      </w:r>
      <w:r w:rsidRPr="00830C4C">
        <w:rPr>
          <w:rFonts w:eastAsia="仿宋_GB2312" w:hAnsi="宋体"/>
          <w:color w:val="000000"/>
          <w:sz w:val="32"/>
          <w:szCs w:val="32"/>
        </w:rPr>
        <w:t>2022</w:t>
      </w:r>
      <w:r w:rsidRPr="00830C4C">
        <w:rPr>
          <w:rFonts w:eastAsia="仿宋_GB2312" w:hAnsi="宋体" w:hint="eastAsia"/>
          <w:color w:val="000000"/>
          <w:sz w:val="32"/>
          <w:szCs w:val="32"/>
        </w:rPr>
        <w:t>年</w:t>
      </w:r>
      <w:r w:rsidRPr="00830C4C">
        <w:rPr>
          <w:rFonts w:eastAsia="仿宋_GB2312" w:hAnsi="宋体"/>
          <w:color w:val="000000"/>
          <w:sz w:val="32"/>
          <w:szCs w:val="32"/>
        </w:rPr>
        <w:t>1</w:t>
      </w:r>
      <w:r w:rsidRPr="00830C4C">
        <w:rPr>
          <w:rFonts w:eastAsia="仿宋_GB2312" w:hAnsi="宋体" w:hint="eastAsia"/>
          <w:color w:val="000000"/>
          <w:sz w:val="32"/>
          <w:szCs w:val="32"/>
        </w:rPr>
        <w:t>月</w:t>
      </w:r>
      <w:r w:rsidRPr="00830C4C">
        <w:rPr>
          <w:rFonts w:eastAsia="仿宋_GB2312" w:hAnsi="宋体"/>
          <w:color w:val="000000"/>
          <w:sz w:val="32"/>
          <w:szCs w:val="32"/>
        </w:rPr>
        <w:t>1</w:t>
      </w:r>
      <w:r w:rsidRPr="00830C4C">
        <w:rPr>
          <w:rFonts w:eastAsia="仿宋_GB2312" w:hAnsi="宋体" w:hint="eastAsia"/>
          <w:color w:val="000000"/>
          <w:sz w:val="32"/>
          <w:szCs w:val="32"/>
        </w:rPr>
        <w:t>日起施行。</w:t>
      </w:r>
      <w:r w:rsidRPr="00212734">
        <w:rPr>
          <w:rFonts w:eastAsia="仿宋_GB2312" w:hAnsi="宋体"/>
          <w:snapToGrid w:val="0"/>
          <w:sz w:val="28"/>
          <w:szCs w:val="28"/>
        </w:rPr>
        <w:t xml:space="preserve"> </w:t>
      </w:r>
    </w:p>
    <w:sectPr w:rsidR="00AB76F3" w:rsidRPr="00212734"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6F3" w:rsidRDefault="00AB76F3">
      <w:r>
        <w:separator/>
      </w:r>
    </w:p>
  </w:endnote>
  <w:endnote w:type="continuationSeparator" w:id="0">
    <w:p w:rsidR="00AB76F3" w:rsidRDefault="00AB7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6F3" w:rsidRPr="00F347DE" w:rsidRDefault="00AB76F3">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5D6FDA">
      <w:rPr>
        <w:rFonts w:ascii="宋体" w:hAnsi="宋体"/>
        <w:noProof/>
        <w:sz w:val="28"/>
        <w:szCs w:val="28"/>
        <w:lang w:val="zh-CN"/>
      </w:rPr>
      <w:t>12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6F3" w:rsidRDefault="00AB76F3"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5D6FDA">
      <w:rPr>
        <w:rFonts w:ascii="宋体" w:hAnsi="宋体"/>
        <w:noProof/>
        <w:sz w:val="28"/>
        <w:szCs w:val="28"/>
        <w:lang w:val="zh-CN"/>
      </w:rPr>
      <w:t>13</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6F3" w:rsidRDefault="00AB76F3">
      <w:r>
        <w:separator/>
      </w:r>
    </w:p>
  </w:footnote>
  <w:footnote w:type="continuationSeparator" w:id="0">
    <w:p w:rsidR="00AB76F3" w:rsidRDefault="00AB7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F76"/>
    <w:rsid w:val="000179C6"/>
    <w:rsid w:val="00017A47"/>
    <w:rsid w:val="00017FBD"/>
    <w:rsid w:val="00021521"/>
    <w:rsid w:val="0002320E"/>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2BF"/>
    <w:rsid w:val="0014156D"/>
    <w:rsid w:val="0014176C"/>
    <w:rsid w:val="00141CCE"/>
    <w:rsid w:val="00141F95"/>
    <w:rsid w:val="0014244E"/>
    <w:rsid w:val="001426C9"/>
    <w:rsid w:val="00142A90"/>
    <w:rsid w:val="0014374E"/>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2F7"/>
    <w:rsid w:val="00190AE3"/>
    <w:rsid w:val="001918A1"/>
    <w:rsid w:val="001918D9"/>
    <w:rsid w:val="00192449"/>
    <w:rsid w:val="00192767"/>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7411"/>
    <w:rsid w:val="002176B5"/>
    <w:rsid w:val="00220293"/>
    <w:rsid w:val="00220758"/>
    <w:rsid w:val="00220C9B"/>
    <w:rsid w:val="00220E72"/>
    <w:rsid w:val="002213AA"/>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7A0"/>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6D3"/>
    <w:rsid w:val="00344F98"/>
    <w:rsid w:val="00345811"/>
    <w:rsid w:val="00346668"/>
    <w:rsid w:val="00346AA2"/>
    <w:rsid w:val="00347B4B"/>
    <w:rsid w:val="00350ACE"/>
    <w:rsid w:val="003512E9"/>
    <w:rsid w:val="0035143C"/>
    <w:rsid w:val="00351E70"/>
    <w:rsid w:val="00351E78"/>
    <w:rsid w:val="0035248C"/>
    <w:rsid w:val="003527E7"/>
    <w:rsid w:val="00352834"/>
    <w:rsid w:val="003536BC"/>
    <w:rsid w:val="00353F65"/>
    <w:rsid w:val="003540A1"/>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5D4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8B0"/>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62B"/>
    <w:rsid w:val="0042392E"/>
    <w:rsid w:val="00423D11"/>
    <w:rsid w:val="00424256"/>
    <w:rsid w:val="00424529"/>
    <w:rsid w:val="00424A87"/>
    <w:rsid w:val="00424CE8"/>
    <w:rsid w:val="0042595B"/>
    <w:rsid w:val="004271CC"/>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201"/>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1F65"/>
    <w:rsid w:val="005824F9"/>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27D3"/>
    <w:rsid w:val="005D3C46"/>
    <w:rsid w:val="005D6305"/>
    <w:rsid w:val="005D6717"/>
    <w:rsid w:val="005D69A4"/>
    <w:rsid w:val="005D6FDA"/>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3A0"/>
    <w:rsid w:val="00646BC6"/>
    <w:rsid w:val="00646D1A"/>
    <w:rsid w:val="006503EB"/>
    <w:rsid w:val="00651025"/>
    <w:rsid w:val="006513B3"/>
    <w:rsid w:val="006519FF"/>
    <w:rsid w:val="00652191"/>
    <w:rsid w:val="00652BE1"/>
    <w:rsid w:val="00652D7C"/>
    <w:rsid w:val="00653183"/>
    <w:rsid w:val="0065330F"/>
    <w:rsid w:val="0065726E"/>
    <w:rsid w:val="00661BF5"/>
    <w:rsid w:val="00661D5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D12"/>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9752C"/>
    <w:rsid w:val="006A0213"/>
    <w:rsid w:val="006A035B"/>
    <w:rsid w:val="006A0F19"/>
    <w:rsid w:val="006A1308"/>
    <w:rsid w:val="006A1C2C"/>
    <w:rsid w:val="006A337C"/>
    <w:rsid w:val="006A34F9"/>
    <w:rsid w:val="006A37D4"/>
    <w:rsid w:val="006A39C9"/>
    <w:rsid w:val="006A3E9B"/>
    <w:rsid w:val="006A424B"/>
    <w:rsid w:val="006A492F"/>
    <w:rsid w:val="006A5D9D"/>
    <w:rsid w:val="006A5F02"/>
    <w:rsid w:val="006A5FA9"/>
    <w:rsid w:val="006A608A"/>
    <w:rsid w:val="006A63EF"/>
    <w:rsid w:val="006A7A31"/>
    <w:rsid w:val="006B0AEA"/>
    <w:rsid w:val="006B11CC"/>
    <w:rsid w:val="006B1D90"/>
    <w:rsid w:val="006B1FBC"/>
    <w:rsid w:val="006B22BA"/>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96E"/>
    <w:rsid w:val="00700582"/>
    <w:rsid w:val="0070149A"/>
    <w:rsid w:val="00701632"/>
    <w:rsid w:val="00701F91"/>
    <w:rsid w:val="007023A6"/>
    <w:rsid w:val="00702507"/>
    <w:rsid w:val="00702D0B"/>
    <w:rsid w:val="007037F4"/>
    <w:rsid w:val="0070418C"/>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83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69F"/>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C7D42"/>
    <w:rsid w:val="008D01E5"/>
    <w:rsid w:val="008D02D4"/>
    <w:rsid w:val="008D0A12"/>
    <w:rsid w:val="008D16F7"/>
    <w:rsid w:val="008D1FA7"/>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B0C"/>
    <w:rsid w:val="008F1788"/>
    <w:rsid w:val="008F28F7"/>
    <w:rsid w:val="008F2942"/>
    <w:rsid w:val="008F3368"/>
    <w:rsid w:val="008F5790"/>
    <w:rsid w:val="008F5C01"/>
    <w:rsid w:val="008F692E"/>
    <w:rsid w:val="008F721F"/>
    <w:rsid w:val="00900761"/>
    <w:rsid w:val="0090111D"/>
    <w:rsid w:val="0090136C"/>
    <w:rsid w:val="00901BD8"/>
    <w:rsid w:val="009020AB"/>
    <w:rsid w:val="00902847"/>
    <w:rsid w:val="009040F7"/>
    <w:rsid w:val="009042D8"/>
    <w:rsid w:val="0090438D"/>
    <w:rsid w:val="009045AE"/>
    <w:rsid w:val="00906349"/>
    <w:rsid w:val="00906415"/>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0EB"/>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6F3"/>
    <w:rsid w:val="00AC1585"/>
    <w:rsid w:val="00AC1867"/>
    <w:rsid w:val="00AC2609"/>
    <w:rsid w:val="00AC2875"/>
    <w:rsid w:val="00AC3F55"/>
    <w:rsid w:val="00AC45DF"/>
    <w:rsid w:val="00AC4F25"/>
    <w:rsid w:val="00AC5160"/>
    <w:rsid w:val="00AC574A"/>
    <w:rsid w:val="00AC629A"/>
    <w:rsid w:val="00AC6E23"/>
    <w:rsid w:val="00AC73F1"/>
    <w:rsid w:val="00AC74C4"/>
    <w:rsid w:val="00AC7F6F"/>
    <w:rsid w:val="00AC7F7F"/>
    <w:rsid w:val="00AD00EE"/>
    <w:rsid w:val="00AD0231"/>
    <w:rsid w:val="00AD037E"/>
    <w:rsid w:val="00AD0751"/>
    <w:rsid w:val="00AD0EBB"/>
    <w:rsid w:val="00AD10F7"/>
    <w:rsid w:val="00AD1D2C"/>
    <w:rsid w:val="00AD1DA9"/>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2199"/>
    <w:rsid w:val="00AE2216"/>
    <w:rsid w:val="00AE23DC"/>
    <w:rsid w:val="00AE2E9D"/>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5BA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07700"/>
    <w:rsid w:val="00D10424"/>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294"/>
    <w:rsid w:val="00DC6A90"/>
    <w:rsid w:val="00DC7BF1"/>
    <w:rsid w:val="00DD09C4"/>
    <w:rsid w:val="00DD3A61"/>
    <w:rsid w:val="00DD3BA6"/>
    <w:rsid w:val="00DD4163"/>
    <w:rsid w:val="00DD45D7"/>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26E"/>
    <w:rsid w:val="00E058BD"/>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BD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6F37"/>
    <w:rsid w:val="00E97076"/>
    <w:rsid w:val="00E97315"/>
    <w:rsid w:val="00E979C3"/>
    <w:rsid w:val="00EA0FAA"/>
    <w:rsid w:val="00EA1204"/>
    <w:rsid w:val="00EA1943"/>
    <w:rsid w:val="00EA1FCE"/>
    <w:rsid w:val="00EA38FF"/>
    <w:rsid w:val="00EA49B0"/>
    <w:rsid w:val="00EA5269"/>
    <w:rsid w:val="00EA64D6"/>
    <w:rsid w:val="00EA6520"/>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4105"/>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19B"/>
    <w:rsid w:val="00FA0743"/>
    <w:rsid w:val="00FA1237"/>
    <w:rsid w:val="00FA1283"/>
    <w:rsid w:val="00FA14CC"/>
    <w:rsid w:val="00FA3CB6"/>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1004"/>
    <w:rsid w:val="00FC20D7"/>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EB"/>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9400EB"/>
    <w:rPr>
      <w:rFonts w:ascii="黑体" w:eastAsia="黑体" w:hAnsi="Courier New"/>
      <w:snapToGrid w:val="0"/>
      <w:kern w:val="2"/>
      <w:sz w:val="32"/>
      <w:lang w:val="en-US" w:eastAsia="zh-CN"/>
    </w:rPr>
  </w:style>
  <w:style w:type="character" w:customStyle="1" w:styleId="ca-41">
    <w:name w:val="ca-41"/>
    <w:uiPriority w:val="99"/>
    <w:rsid w:val="009400EB"/>
    <w:rPr>
      <w:rFonts w:ascii="??_GB2312" w:eastAsia="Times New Roman"/>
      <w:color w:val="000000"/>
      <w:sz w:val="32"/>
    </w:rPr>
  </w:style>
  <w:style w:type="character" w:customStyle="1" w:styleId="ca-01">
    <w:name w:val="ca-01"/>
    <w:uiPriority w:val="99"/>
    <w:rsid w:val="009400EB"/>
    <w:rPr>
      <w:rFonts w:ascii="Times New Roman"/>
      <w:b/>
      <w:color w:val="000000"/>
      <w:spacing w:val="-20"/>
      <w:sz w:val="44"/>
    </w:rPr>
  </w:style>
  <w:style w:type="character" w:customStyle="1" w:styleId="CharChar1">
    <w:name w:val="Char Char1"/>
    <w:uiPriority w:val="99"/>
    <w:locked/>
    <w:rsid w:val="009400EB"/>
    <w:rPr>
      <w:rFonts w:ascii="宋体" w:eastAsia="宋体" w:hAnsi="Courier New"/>
      <w:kern w:val="2"/>
      <w:sz w:val="21"/>
      <w:lang w:val="en-US" w:eastAsia="zh-CN"/>
    </w:rPr>
  </w:style>
  <w:style w:type="character" w:customStyle="1" w:styleId="CharChar2">
    <w:name w:val="Char Char2"/>
    <w:uiPriority w:val="99"/>
    <w:rsid w:val="009400EB"/>
    <w:rPr>
      <w:rFonts w:ascii="黑体" w:eastAsia="黑体"/>
      <w:sz w:val="24"/>
      <w:lang w:val="en-US" w:eastAsia="zh-CN"/>
    </w:rPr>
  </w:style>
  <w:style w:type="character" w:customStyle="1" w:styleId="1Char">
    <w:name w:val="样式1 Char"/>
    <w:uiPriority w:val="99"/>
    <w:rsid w:val="009400EB"/>
    <w:rPr>
      <w:rFonts w:ascii="黑体" w:eastAsia="黑体" w:hAnsi="Courier New"/>
      <w:snapToGrid w:val="0"/>
      <w:kern w:val="2"/>
      <w:sz w:val="32"/>
      <w:lang w:val="en-US" w:eastAsia="zh-CN"/>
    </w:rPr>
  </w:style>
  <w:style w:type="character" w:customStyle="1" w:styleId="Char">
    <w:name w:val="纯文本 Char"/>
    <w:uiPriority w:val="99"/>
    <w:rsid w:val="009400EB"/>
    <w:rPr>
      <w:rFonts w:ascii="宋体" w:eastAsia="宋体" w:hAnsi="Courier New"/>
      <w:kern w:val="2"/>
      <w:sz w:val="21"/>
      <w:lang w:val="en-US" w:eastAsia="zh-CN"/>
    </w:rPr>
  </w:style>
  <w:style w:type="character" w:customStyle="1" w:styleId="2Char">
    <w:name w:val="样式2 Char"/>
    <w:link w:val="2"/>
    <w:uiPriority w:val="99"/>
    <w:locked/>
    <w:rsid w:val="009400EB"/>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9400EB"/>
    <w:rPr>
      <w:rFonts w:eastAsia="仿宋_GB2312" w:cs="Times New Roman"/>
      <w:sz w:val="32"/>
    </w:rPr>
  </w:style>
  <w:style w:type="character" w:customStyle="1" w:styleId="PlainTextChar1">
    <w:name w:val="Plain Text Char1"/>
    <w:link w:val="PlainText"/>
    <w:uiPriority w:val="99"/>
    <w:locked/>
    <w:rsid w:val="009400EB"/>
    <w:rPr>
      <w:rFonts w:ascii="宋体" w:eastAsia="宋体" w:hAnsi="Courier New"/>
      <w:kern w:val="2"/>
      <w:sz w:val="21"/>
      <w:lang w:val="en-US" w:eastAsia="zh-CN"/>
    </w:rPr>
  </w:style>
  <w:style w:type="character" w:customStyle="1" w:styleId="CharChar">
    <w:name w:val="Char Char"/>
    <w:uiPriority w:val="99"/>
    <w:rsid w:val="009400EB"/>
    <w:rPr>
      <w:rFonts w:ascii="宋体" w:eastAsia="宋体" w:hAnsi="Courier New"/>
      <w:kern w:val="2"/>
      <w:sz w:val="21"/>
      <w:lang w:val="en-US" w:eastAsia="zh-CN"/>
    </w:rPr>
  </w:style>
  <w:style w:type="character" w:styleId="PageNumber">
    <w:name w:val="page number"/>
    <w:basedOn w:val="DefaultParagraphFont"/>
    <w:uiPriority w:val="99"/>
    <w:rsid w:val="009400EB"/>
    <w:rPr>
      <w:rFonts w:cs="Times New Roman"/>
    </w:rPr>
  </w:style>
  <w:style w:type="character" w:customStyle="1" w:styleId="BodyTextChar1">
    <w:name w:val="Body Text Char1"/>
    <w:link w:val="BodyText"/>
    <w:uiPriority w:val="99"/>
    <w:locked/>
    <w:rsid w:val="009400EB"/>
    <w:rPr>
      <w:rFonts w:eastAsia="华文中宋"/>
      <w:kern w:val="2"/>
      <w:sz w:val="24"/>
      <w:lang w:val="en-US" w:eastAsia="zh-CN"/>
    </w:rPr>
  </w:style>
  <w:style w:type="character" w:customStyle="1" w:styleId="ca-11">
    <w:name w:val="ca-11"/>
    <w:uiPriority w:val="99"/>
    <w:rsid w:val="009400EB"/>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400EB"/>
    <w:pPr>
      <w:widowControl w:val="0"/>
      <w:jc w:val="both"/>
    </w:pPr>
    <w:rPr>
      <w:szCs w:val="24"/>
    </w:rPr>
  </w:style>
  <w:style w:type="paragraph" w:styleId="BodyText2">
    <w:name w:val="Body Text 2"/>
    <w:basedOn w:val="Normal"/>
    <w:link w:val="BodyText2Char"/>
    <w:uiPriority w:val="99"/>
    <w:rsid w:val="009400EB"/>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9400EB"/>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400EB"/>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9400EB"/>
  </w:style>
  <w:style w:type="paragraph" w:customStyle="1" w:styleId="p16">
    <w:name w:val="p16"/>
    <w:basedOn w:val="Normal"/>
    <w:uiPriority w:val="99"/>
    <w:rsid w:val="009400EB"/>
    <w:pPr>
      <w:widowControl/>
    </w:pPr>
    <w:rPr>
      <w:kern w:val="0"/>
      <w:szCs w:val="21"/>
    </w:rPr>
  </w:style>
  <w:style w:type="paragraph" w:styleId="BodyText">
    <w:name w:val="Body Text"/>
    <w:basedOn w:val="Normal"/>
    <w:link w:val="BodyTextChar"/>
    <w:uiPriority w:val="99"/>
    <w:rsid w:val="009400EB"/>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9400E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9400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9400EB"/>
    <w:pPr>
      <w:ind w:left="200" w:hangingChars="200" w:hanging="200"/>
    </w:pPr>
  </w:style>
  <w:style w:type="paragraph" w:customStyle="1" w:styleId="1">
    <w:name w:val="样式1"/>
    <w:basedOn w:val="PlainText"/>
    <w:link w:val="1CharChar"/>
    <w:uiPriority w:val="99"/>
    <w:rsid w:val="009400E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9400E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9400EB"/>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9400EB"/>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9400EB"/>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400EB"/>
  </w:style>
  <w:style w:type="paragraph" w:customStyle="1" w:styleId="content-parag">
    <w:name w:val="content-parag"/>
    <w:basedOn w:val="Normal"/>
    <w:uiPriority w:val="99"/>
    <w:rsid w:val="009400EB"/>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9400EB"/>
    <w:rPr>
      <w:rFonts w:ascii="宋体" w:hAnsi="Courier New"/>
      <w:szCs w:val="20"/>
    </w:rPr>
  </w:style>
  <w:style w:type="paragraph" w:customStyle="1" w:styleId="5">
    <w:name w:val="样式5"/>
    <w:basedOn w:val="1"/>
    <w:uiPriority w:val="99"/>
    <w:rsid w:val="009400EB"/>
    <w:pPr>
      <w:ind w:firstLineChars="0" w:firstLine="0"/>
      <w:jc w:val="center"/>
    </w:pPr>
  </w:style>
  <w:style w:type="paragraph" w:customStyle="1" w:styleId="a">
    <w:name w:val="列出段落"/>
    <w:basedOn w:val="Normal"/>
    <w:uiPriority w:val="99"/>
    <w:rsid w:val="009400EB"/>
    <w:pPr>
      <w:ind w:firstLineChars="200" w:firstLine="420"/>
    </w:pPr>
  </w:style>
  <w:style w:type="paragraph" w:customStyle="1" w:styleId="NewNewNewNewNewNewNew">
    <w:name w:val="正文 New New New New New New New"/>
    <w:uiPriority w:val="99"/>
    <w:rsid w:val="009400EB"/>
    <w:pPr>
      <w:widowControl w:val="0"/>
      <w:jc w:val="both"/>
    </w:pPr>
    <w:rPr>
      <w:szCs w:val="24"/>
    </w:rPr>
  </w:style>
  <w:style w:type="paragraph" w:customStyle="1" w:styleId="New0">
    <w:name w:val="正文 New"/>
    <w:uiPriority w:val="99"/>
    <w:rsid w:val="009400EB"/>
    <w:pPr>
      <w:widowControl w:val="0"/>
      <w:jc w:val="both"/>
    </w:pPr>
  </w:style>
  <w:style w:type="paragraph" w:customStyle="1" w:styleId="CharCharCharCharCharCharChar">
    <w:name w:val="Char Char Char Char Char Char Char"/>
    <w:basedOn w:val="Normal"/>
    <w:uiPriority w:val="99"/>
    <w:semiHidden/>
    <w:rsid w:val="009400EB"/>
  </w:style>
  <w:style w:type="paragraph" w:customStyle="1" w:styleId="Char1">
    <w:name w:val="Char1"/>
    <w:basedOn w:val="Normal"/>
    <w:uiPriority w:val="99"/>
    <w:semiHidden/>
    <w:rsid w:val="009400EB"/>
  </w:style>
  <w:style w:type="paragraph" w:customStyle="1" w:styleId="CharCharCharChar">
    <w:name w:val="Char Char Char Char"/>
    <w:basedOn w:val="Normal"/>
    <w:uiPriority w:val="99"/>
    <w:semiHidden/>
    <w:rsid w:val="009400EB"/>
  </w:style>
  <w:style w:type="paragraph" w:customStyle="1" w:styleId="reader-word-layerreader-word-s1-2">
    <w:name w:val="reader-word-layer reader-word-s1-2"/>
    <w:basedOn w:val="Normal"/>
    <w:uiPriority w:val="99"/>
    <w:rsid w:val="009400EB"/>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9400EB"/>
    <w:pPr>
      <w:widowControl w:val="0"/>
      <w:jc w:val="both"/>
    </w:pPr>
    <w:rPr>
      <w:szCs w:val="24"/>
    </w:rPr>
  </w:style>
  <w:style w:type="paragraph" w:customStyle="1" w:styleId="CharCharChar">
    <w:name w:val="Char Char Char"/>
    <w:basedOn w:val="Normal"/>
    <w:uiPriority w:val="99"/>
    <w:rsid w:val="009400EB"/>
    <w:rPr>
      <w:rFonts w:eastAsia="仿宋_GB2312"/>
      <w:sz w:val="32"/>
      <w:szCs w:val="20"/>
    </w:rPr>
  </w:style>
  <w:style w:type="paragraph" w:customStyle="1" w:styleId="4">
    <w:name w:val="样式4"/>
    <w:basedOn w:val="PlainText"/>
    <w:uiPriority w:val="99"/>
    <w:rsid w:val="009400EB"/>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9400E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s>
</file>

<file path=word/webSettings.xml><?xml version="1.0" encoding="utf-8"?>
<w:webSettings xmlns:r="http://schemas.openxmlformats.org/officeDocument/2006/relationships" xmlns:w="http://schemas.openxmlformats.org/wordprocessingml/2006/main">
  <w:divs>
    <w:div w:id="263147366">
      <w:marLeft w:val="0"/>
      <w:marRight w:val="0"/>
      <w:marTop w:val="0"/>
      <w:marBottom w:val="0"/>
      <w:divBdr>
        <w:top w:val="none" w:sz="0" w:space="0" w:color="auto"/>
        <w:left w:val="none" w:sz="0" w:space="0" w:color="auto"/>
        <w:bottom w:val="none" w:sz="0" w:space="0" w:color="auto"/>
        <w:right w:val="none" w:sz="0" w:space="0" w:color="auto"/>
      </w:divBdr>
    </w:div>
    <w:div w:id="263147367">
      <w:marLeft w:val="0"/>
      <w:marRight w:val="0"/>
      <w:marTop w:val="0"/>
      <w:marBottom w:val="0"/>
      <w:divBdr>
        <w:top w:val="none" w:sz="0" w:space="0" w:color="auto"/>
        <w:left w:val="none" w:sz="0" w:space="0" w:color="auto"/>
        <w:bottom w:val="none" w:sz="0" w:space="0" w:color="auto"/>
        <w:right w:val="none" w:sz="0" w:space="0" w:color="auto"/>
      </w:divBdr>
    </w:div>
    <w:div w:id="263147368">
      <w:marLeft w:val="0"/>
      <w:marRight w:val="0"/>
      <w:marTop w:val="0"/>
      <w:marBottom w:val="0"/>
      <w:divBdr>
        <w:top w:val="none" w:sz="0" w:space="0" w:color="auto"/>
        <w:left w:val="none" w:sz="0" w:space="0" w:color="auto"/>
        <w:bottom w:val="none" w:sz="0" w:space="0" w:color="auto"/>
        <w:right w:val="none" w:sz="0" w:space="0" w:color="auto"/>
      </w:divBdr>
    </w:div>
    <w:div w:id="263147369">
      <w:marLeft w:val="0"/>
      <w:marRight w:val="0"/>
      <w:marTop w:val="0"/>
      <w:marBottom w:val="0"/>
      <w:divBdr>
        <w:top w:val="none" w:sz="0" w:space="0" w:color="auto"/>
        <w:left w:val="none" w:sz="0" w:space="0" w:color="auto"/>
        <w:bottom w:val="none" w:sz="0" w:space="0" w:color="auto"/>
        <w:right w:val="none" w:sz="0" w:space="0" w:color="auto"/>
      </w:divBdr>
    </w:div>
    <w:div w:id="263147370">
      <w:marLeft w:val="0"/>
      <w:marRight w:val="0"/>
      <w:marTop w:val="0"/>
      <w:marBottom w:val="0"/>
      <w:divBdr>
        <w:top w:val="none" w:sz="0" w:space="0" w:color="auto"/>
        <w:left w:val="none" w:sz="0" w:space="0" w:color="auto"/>
        <w:bottom w:val="none" w:sz="0" w:space="0" w:color="auto"/>
        <w:right w:val="none" w:sz="0" w:space="0" w:color="auto"/>
      </w:divBdr>
    </w:div>
    <w:div w:id="263147371">
      <w:marLeft w:val="0"/>
      <w:marRight w:val="0"/>
      <w:marTop w:val="0"/>
      <w:marBottom w:val="0"/>
      <w:divBdr>
        <w:top w:val="none" w:sz="0" w:space="0" w:color="auto"/>
        <w:left w:val="none" w:sz="0" w:space="0" w:color="auto"/>
        <w:bottom w:val="none" w:sz="0" w:space="0" w:color="auto"/>
        <w:right w:val="none" w:sz="0" w:space="0" w:color="auto"/>
      </w:divBdr>
    </w:div>
    <w:div w:id="263147372">
      <w:marLeft w:val="0"/>
      <w:marRight w:val="0"/>
      <w:marTop w:val="0"/>
      <w:marBottom w:val="0"/>
      <w:divBdr>
        <w:top w:val="none" w:sz="0" w:space="0" w:color="auto"/>
        <w:left w:val="none" w:sz="0" w:space="0" w:color="auto"/>
        <w:bottom w:val="none" w:sz="0" w:space="0" w:color="auto"/>
        <w:right w:val="none" w:sz="0" w:space="0" w:color="auto"/>
      </w:divBdr>
    </w:div>
    <w:div w:id="2631473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872</Words>
  <Characters>4977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2021-11-30T10:33:00Z</cp:lastPrinted>
  <dcterms:created xsi:type="dcterms:W3CDTF">2021-12-01T01:30:00Z</dcterms:created>
  <dcterms:modified xsi:type="dcterms:W3CDTF">2021-12-01T01:30:00Z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