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2C9F1F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伊犁哈萨克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伊犁哈萨克自治州人民代表大会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8" w:name="_GoBack"/>
      <w:bookmarkEnd w:id="58"/>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033768E5">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（2025年1月15日伊犁哈萨克自治州第十五届人民代表大会第四次会议通过　2025年3月26日新疆维吾尔自治区第十四届人民代表大会常务委员会第十九次会议批准）</w:t>
      </w:r>
    </w:p>
    <w:p w14:paraId="749AE93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1" w:name="目录"/>
      <w:bookmarkEnd w:id="1"/>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180C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立法规划和立法计划</w:t>
      </w:r>
    </w:p>
    <w:p w14:paraId="53FB64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自治州人民代表大会立法程序</w:t>
      </w:r>
    </w:p>
    <w:p w14:paraId="4867FE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自治州人民代表大会常务委员会立法程序</w:t>
      </w:r>
    </w:p>
    <w:p w14:paraId="4594A2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7984D4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6E7FEA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7B6EFF1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立法活动，完善立法程序，提高立法质量和效率，发挥立法的引领和推动作用，保障和发展社会主义民主，全面推进依法治州，建设法治伊犁，根据宪法、《中华人民共和国地方各级人民代表大会和地方各级人民政府组织法》、《中华人民共和国立法法》等有关法律的规定，结合自治州实际，制定本条例。</w:t>
      </w:r>
    </w:p>
    <w:p w14:paraId="5F31EED1">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自治州人民代表大会及其常务委员会制定、修改、废止、解释地方性法规、自治条例和单行条例，编制立法规划和年度立法计划、专项立法计划，以及开展其他相关立法活动，适用本条例。</w:t>
      </w:r>
    </w:p>
    <w:p w14:paraId="126AFA19">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自治州立法应当遵循下列原则：</w:t>
      </w:r>
    </w:p>
    <w:p w14:paraId="29E0C4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推进中国式现代化伊犁实践提供法治保障；</w:t>
      </w:r>
    </w:p>
    <w:p w14:paraId="71D95E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w:t>
      </w:r>
    </w:p>
    <w:p w14:paraId="6DB466C9">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（三）符合宪法的规定、原则和精神，不得同宪法、法律、行政法规和自治区地方性法规相抵触，依照法定的权限和程序，从国家整体利益出发，维护社会主义法制的统一、尊严、权威；</w:t>
      </w:r>
    </w:p>
    <w:p w14:paraId="2777FA04">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（四）坚持以人民为中心的发展思想，坚持和发展全过程人民民主，尊重和保障人权，保障和促进社会公平正义，坚持体现人民的意志，发扬社会主义民主，坚持立法公开，保障人民通过多种途径参与立法活动；</w:t>
      </w:r>
    </w:p>
    <w:p w14:paraId="577CD188">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从实际需要出发，发挥实施性、补充性、探索性功能，突出地方特色，科学合理地规定公民、法人和其他组织的权利与义务、国家机关的权力与责任，法规规范应当明确、具体，具有针对性、适用性和可操作性，对上位法已经明确规定的内容，一般不作重复性规定；</w:t>
      </w:r>
    </w:p>
    <w:p w14:paraId="309CDC67">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（六）以铸牢中华民族共同体意识为主线，倡导和弘扬社会主义核心价值观，坚持依法治国和以德治国相结合，推动社会主义精神文明建设；</w:t>
      </w:r>
    </w:p>
    <w:p w14:paraId="611DB1A1">
      <w:pPr>
        <w:ind w:firstLine="632" w:firstLineChars="200"/>
        <w:rPr>
          <w:rFonts w:ascii="Times New Roman" w:hAnsi="Times New Roman" w:cs="仿宋_GB2312"/>
          <w:sz w:val="32"/>
          <w:szCs w:val="32"/>
        </w:rPr>
      </w:pPr>
      <w:r>
        <w:rPr>
          <w:rFonts w:hint="eastAsia" w:ascii="Times New Roman" w:hAnsi="Times New Roman" w:cs="仿宋_GB2312"/>
          <w:sz w:val="32"/>
          <w:szCs w:val="32"/>
        </w:rPr>
        <w:t>（七）适应改革需要，坚持在法治下推进改革和在改革中完善法治相统一，引导、推动、规范、保障相关改革，发挥法治在自治州治理体系和治理能力现代化中的作用。</w:t>
      </w:r>
    </w:p>
    <w:p w14:paraId="0B5D9042">
      <w:pPr>
        <w:ind w:firstLine="632" w:firstLineChars="200"/>
        <w:rPr>
          <w:rFonts w:ascii="Times New Roman" w:hAnsi="Times New Roman" w:cs="仿宋_GB2312"/>
          <w:sz w:val="32"/>
          <w:szCs w:val="32"/>
        </w:rPr>
      </w:pPr>
      <w:r>
        <w:rPr>
          <w:rFonts w:hint="eastAsia" w:ascii="Times New Roman" w:hAnsi="Times New Roman" w:cs="仿宋_GB2312"/>
          <w:sz w:val="32"/>
          <w:szCs w:val="32"/>
        </w:rPr>
        <w:t>（八）坚持党委领导、人大主导、政府依托、各方参与的立法工作格局，完善立法制度，健全立法机制，推进科学立法、民主立法、依法立法。</w:t>
      </w:r>
    </w:p>
    <w:p w14:paraId="7798F3BB">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自治州人民代表大会有权依照当地民族的政治、经济和文化的特点，制定自治条例和单行条例，报自治区人民代表大会常务委员会批准后生效。</w:t>
      </w:r>
    </w:p>
    <w:p w14:paraId="5C4C801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7E1DCC69">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自治州人民代表大会及其常务委员会依法可以在城乡建设与管理、生态文明建设、历史文化保护、基层治理等方面就下列事项制定地方性法规：</w:t>
      </w:r>
    </w:p>
    <w:p w14:paraId="0A1583F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（一）为执行上位法的规定，需要根据本行政区域的实际情况作出具体规定的；</w:t>
      </w:r>
    </w:p>
    <w:p w14:paraId="32E2A9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w:t>
      </w:r>
    </w:p>
    <w:p w14:paraId="6C9CCA3C">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（三）除只能由法律规定的事项之外，国家尚未制定法律、行政法规，根据本行政区域具体情况和实际需要先行制定地方性法规的。</w:t>
      </w:r>
    </w:p>
    <w:p w14:paraId="19B25185">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涉及自治州人民代表大会职权和本行政区域特别重大的事项，以及自治州人民代表大会认为应当由其制定地方性法规的事项，应当由自治州人民代表大会制定地方性法规。</w:t>
      </w:r>
    </w:p>
    <w:p w14:paraId="34A992C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自治州人民代表大会闭会期间，自治州人民代表大会常务委员会可以对自治州人民代表大会制定的地方性法规进行部分补充和修改，但是不得同该法规的基本原则相抵触。</w:t>
      </w:r>
    </w:p>
    <w:p w14:paraId="41FF3F1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自治州的地方性法规报自治区人民代表大会常务委员会批准后施行。</w:t>
      </w:r>
    </w:p>
    <w:p w14:paraId="6D63099F">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自治州人民代表大会及其常务委员会根据区域协调发展的需要，可以与有关设区的市、自治州人民代表大会及其常务委员会建立区域协同立法工作机制，协同制定地方性法规。</w:t>
      </w:r>
    </w:p>
    <w:p w14:paraId="53091751">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自治州人民代表大会常务委员会根据实际需要，设立基层立法联系点，深入听取人大代表、政协委员、基层群众和有关方面对法规草案和立法工作的意见建议。</w:t>
      </w:r>
    </w:p>
    <w:p w14:paraId="2FEE6C5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自治州人民代表大会常务委员会应当加强立法智库建设，通过聘请立法咨询专家、建立立法研究咨询基地等方式，发挥其在立法论证咨询、立法理论研究和立法人才培养等方面的作用，为立法提供智力支持。</w:t>
      </w:r>
    </w:p>
    <w:p w14:paraId="3CE63B0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自治州人民代表大会及其常务委员会应当加强专门委员会和常务委员会工作机构的立法能力建设，推进立法人才队伍正规化、专业化、职业化。</w:t>
      </w:r>
    </w:p>
    <w:p w14:paraId="60A56AC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自治州人民代表大会常务委员会加强对本州自治县立法工作的指导。</w:t>
      </w:r>
    </w:p>
    <w:p w14:paraId="2B5ECD2A">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自治州人民代表大会及其常务委员会立法活动所需经费，应当列入本级财政预算予以保障。</w:t>
      </w:r>
    </w:p>
    <w:p w14:paraId="0DA6E0B3">
      <w:pPr>
        <w:rPr>
          <w:rFonts w:ascii="Times New Roman" w:hAnsi="Times New Roman" w:eastAsia="宋体" w:cs="宋体"/>
          <w:szCs w:val="32"/>
        </w:rPr>
      </w:pPr>
    </w:p>
    <w:p w14:paraId="121CD38B">
      <w:pPr>
        <w:jc w:val="center"/>
        <w:rPr>
          <w:rFonts w:ascii="Times New Roman" w:hAnsi="Times New Roman" w:eastAsia="黑体" w:cs="黑体"/>
          <w:szCs w:val="32"/>
        </w:rPr>
      </w:pPr>
      <w:bookmarkStart w:id="11" w:name="第二章 立法规划和立法计划"/>
      <w:bookmarkEnd w:id="11"/>
      <w:r>
        <w:rPr>
          <w:rFonts w:hint="eastAsia" w:ascii="Times New Roman" w:hAnsi="Times New Roman" w:eastAsia="黑体" w:cs="黑体"/>
          <w:szCs w:val="32"/>
        </w:rPr>
        <w:t>第二章　立法规划和立法计划</w:t>
      </w:r>
    </w:p>
    <w:p w14:paraId="77899F37">
      <w:pPr>
        <w:rPr>
          <w:rFonts w:ascii="Times New Roman" w:hAnsi="Times New Roman" w:eastAsia="宋体" w:cs="宋体"/>
          <w:szCs w:val="32"/>
        </w:rPr>
      </w:pPr>
    </w:p>
    <w:p w14:paraId="7FF7BC6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自治州人民代表大会常务委员会通过立法规划和年度立法计划、专项立法计划等形式，加强对立法工作的统筹安排。立法规划的实施期限与自治州人民代表大会及其常务委员会的任期同步。</w:t>
      </w:r>
    </w:p>
    <w:p w14:paraId="0AFDA5B8">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编制立法规划、立法计划草案，应当广泛征集立法建议项目。</w:t>
      </w:r>
    </w:p>
    <w:p w14:paraId="329815F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立法建议项目来源包括公民、法人和其他组织向自治州人民代表大会常务委员会提出的项目，通过立法后评估、法规清理、执法检查、专项调研发现的应当制定、修改或者废止的项目，以及需要立法的其他项目。</w:t>
      </w:r>
    </w:p>
    <w:p w14:paraId="23D7C36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应当采用书面形式，主要内容包括项目的名称，立法的必要性、可行性、需要立法解决的主要问题、有关立法依据和其他有关资料，一般应当附法规建议稿。公民个人提出的立法建议，可以只写明需要通过立法解决的主要问题和初步建议意见。</w:t>
      </w:r>
    </w:p>
    <w:p w14:paraId="1E317957">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编制立法规划和立法计划，应当认真研究代表议案和建议，广泛征集意见，科学论证评估，根据经济社会发展和民主法治建设的需要，按照加强重点领域、新兴领域立法的要求，确定立法项目。</w:t>
      </w:r>
    </w:p>
    <w:p w14:paraId="65E0247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有关部门提出的立法建议项目，自治州司法行政部门应当组织全面审查，听取有关部门、社会团体、管理相对人和利益相关群体代表等方面的意见建议，并重点围绕立法必要性、可行性等方面进行论证，由自治州人民政府向自治州人民代表大会常务委员会提出是否立项的书面意见。</w:t>
      </w:r>
    </w:p>
    <w:p w14:paraId="47017C6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自治州人民代表大会常务委员会工作机构应当对所联系领域的立法建议项目进行评估筛选，提出是否立项的书面意见。</w:t>
      </w:r>
    </w:p>
    <w:p w14:paraId="3072415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法制工作机构根据有关方面提出的立法建议项目，进行研究论证、综合考量，拟定立法规划和立法计划草案，提请主任会议审议，形成立法规划和立法计划，按程序报请批准后向社会公布。</w:t>
      </w:r>
    </w:p>
    <w:p w14:paraId="4C7A9613">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立法计划的项目一般从立法规划中选取，立法规划和立法计划在执行过程中需要作适当调整的，由自治州人民代表大会常务委员会法制工作机构根据有关工作机构和有关方面的建议，提出方案，报主任会议决定。</w:t>
      </w:r>
    </w:p>
    <w:p w14:paraId="3E6C885F">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自治州人民代表大会专门委员会及常务委员会工作机构具体负责督促所联系的有关国家机关、组织承担的立法规划和立法计划的落实工作。</w:t>
      </w:r>
    </w:p>
    <w:p w14:paraId="61D69BF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列入年度立法计划的法规项目，有关国家机关、组织应当按照立法计划做好法规草案的起草工作；不能如期完成起草任务的，应当向主任会议提出书面报告。</w:t>
      </w:r>
    </w:p>
    <w:p w14:paraId="243C3D6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的专门委员会及常务委员会工作机构应当提前参与有关方面的法规草案起草、调研、座谈、论证、听证等工作，提出意见建议。综合性、全局性、基础性的重要法规草案，由有关的专门委员会或者常务委员会工作机构组织起草。</w:t>
      </w:r>
    </w:p>
    <w:p w14:paraId="49FAEFBC">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重要法规的起草应当成立立法专班，由自治州人民代表大会常务委员会副主任和自治州人民政府副州长共同担任起草小组组长，协调解决起草工作中的重大问题。</w:t>
      </w:r>
    </w:p>
    <w:p w14:paraId="5BA5732E">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专业性较强的法规草案，可以吸收相关领域的专家参与起草工作，或者委托有关专家、立法研究咨询基地、教学科研单位、社会组织起草。</w:t>
      </w:r>
    </w:p>
    <w:p w14:paraId="322D313D">
      <w:pPr>
        <w:rPr>
          <w:rFonts w:ascii="Times New Roman" w:hAnsi="Times New Roman" w:eastAsia="宋体" w:cs="宋体"/>
          <w:szCs w:val="32"/>
        </w:rPr>
      </w:pPr>
    </w:p>
    <w:p w14:paraId="7F749137">
      <w:pPr>
        <w:jc w:val="center"/>
        <w:rPr>
          <w:rFonts w:ascii="Times New Roman" w:hAnsi="Times New Roman" w:eastAsia="黑体" w:cs="黑体"/>
          <w:szCs w:val="32"/>
        </w:rPr>
      </w:pPr>
      <w:bookmarkStart w:id="17" w:name="第三章 自治州人民代表大会立法程序"/>
      <w:bookmarkEnd w:id="17"/>
      <w:r>
        <w:rPr>
          <w:rFonts w:hint="eastAsia" w:ascii="Times New Roman" w:hAnsi="Times New Roman" w:eastAsia="黑体" w:cs="黑体"/>
          <w:szCs w:val="32"/>
        </w:rPr>
        <w:t>第三章　自治州人民代表大会立法程序</w:t>
      </w:r>
    </w:p>
    <w:p w14:paraId="29165823">
      <w:pPr>
        <w:rPr>
          <w:rFonts w:ascii="Times New Roman" w:hAnsi="Times New Roman" w:eastAsia="宋体" w:cs="宋体"/>
          <w:szCs w:val="32"/>
        </w:rPr>
      </w:pPr>
    </w:p>
    <w:p w14:paraId="4257482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自治州人民代表大会主席团可以向自治州人民代表大会提出法规案，由自治州人民代表大会会议审议。</w:t>
      </w:r>
    </w:p>
    <w:p w14:paraId="0B8FB13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自治州人民代表大会常务委员会、自治州人民政府、自治州人民代表大会专门委员会，可以向自治州人民代表大会提出法规案，由主席团决定列入会议议程。</w:t>
      </w:r>
    </w:p>
    <w:p w14:paraId="0C48A88C">
      <w:pPr>
        <w:ind w:firstLine="632" w:firstLineChars="200"/>
        <w:rPr>
          <w:rFonts w:ascii="Times New Roman" w:hAnsi="Times New Roman" w:cs="仿宋_GB2312"/>
          <w:sz w:val="32"/>
          <w:szCs w:val="32"/>
        </w:rPr>
      </w:pPr>
      <w:r>
        <w:rPr>
          <w:rFonts w:hint="eastAsia" w:ascii="Times New Roman" w:hAnsi="Times New Roman" w:cs="仿宋_GB2312"/>
          <w:sz w:val="32"/>
          <w:szCs w:val="32"/>
        </w:rPr>
        <w:t>十名以上代表联名可以向自治州人民代表大会提出法规案，由主席团决定是否列入会议议程，或者先交有关的专门委员会审议，提出是否列入会议议程的意见，再由主席团决定是否列入会议议程。专门委员会审议法规案时，可以邀请提案人列席会议，发表意见。</w:t>
      </w:r>
    </w:p>
    <w:p w14:paraId="4E1A02AA">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人民代表大会闭会期间，向自治州人民代表大会提出的法规案，可以先向自治州人民代表大会常务委员会提出，经常务委员会会议依照本条例第四章规定的程序审议，决定提请自治州人民代表大会审议的，由常务委员会或者提案人向大会全体会议作说明。</w:t>
      </w:r>
    </w:p>
    <w:p w14:paraId="3AE6B2E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依照前款规定审议法规案，应当通过多种形式征求自治州人民代表大会代表的意见，并将有关情况予以反馈；专门委员会和常务委员会工作机构进行立法调研，可以邀请有关的自治州人民代表大会代表参加。</w:t>
      </w:r>
    </w:p>
    <w:p w14:paraId="6FE344CF">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自治州人民代表大会常务委员会决定提请自治州人民代表大会审议的法规案，应当在会议举行一个月前将法规案发给代表，并可以适时组织代表研读讨论，征求代表意见。</w:t>
      </w:r>
    </w:p>
    <w:p w14:paraId="0071597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列入自治州人民代表大会会议议程的法规案，在大会全体会议听取提案人的说明后，由各代表团进行审议。</w:t>
      </w:r>
    </w:p>
    <w:p w14:paraId="7A15AF6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列入自治州人民代表大会会议议程的法规案，由有关的专门委员会进行审议，向主席团提出审议意见，并印发会议。</w:t>
      </w:r>
    </w:p>
    <w:p w14:paraId="7F11F52C">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法制委员会根据各代表团和有关的专门委员会的审议意见，对法规案进行统一审议，向主席团提出审议结果的报告和法规草案修改稿，经主席团审议通过后，印发会议。对重要的不同意见，应当在审议结果报告中予以说明。</w:t>
      </w:r>
    </w:p>
    <w:p w14:paraId="0B8A26CD">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必要时，主席团常务主席可以召开各代表团团长会议，就法规案中重大问题听取各代表团的审议意见，进行讨论；也可以就法规案中的重大的专门性问题，召集代表团推选的有关代表进行讨论。讨论的情况和意见应当向主席团报告。</w:t>
      </w:r>
    </w:p>
    <w:p w14:paraId="513A89ED">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案在审议中有重大问题需要进一步研究的，经主席团提出，由大会全体会议决定，可以授权自治州人民代表大会常务委员会根据代表的意见进一步审议，作出决定，并将决定情况向自治州人民代表大会下次会议报告；也可以授权自治州人民代表大会常务委员会根据代表的意见进一步审议，提出修改方案，提请自治州人民代表大会下次会议审议决定。</w:t>
      </w:r>
    </w:p>
    <w:p w14:paraId="42526DCE">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3F7E506F">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草案修改稿经各代表团审议，由法制委员会根据各代表团审议的意见进行修改后，提出法规草案表决稿，由主席团提请大会全体会议表决，以全体代表的过半数通过。经大会全体会议表决未获得通过的法规案，如果提案人认为必须制定的，可以按照本章规定的程序重新提出。</w:t>
      </w:r>
    </w:p>
    <w:p w14:paraId="6DAFBC51">
      <w:pPr>
        <w:rPr>
          <w:rFonts w:ascii="Times New Roman" w:hAnsi="Times New Roman" w:eastAsia="宋体" w:cs="宋体"/>
          <w:szCs w:val="32"/>
        </w:rPr>
      </w:pPr>
    </w:p>
    <w:p w14:paraId="1C227809">
      <w:pPr>
        <w:jc w:val="center"/>
        <w:rPr>
          <w:rFonts w:ascii="Times New Roman" w:hAnsi="Times New Roman" w:eastAsia="黑体" w:cs="黑体"/>
          <w:szCs w:val="32"/>
        </w:rPr>
      </w:pPr>
      <w:bookmarkStart w:id="28" w:name="第四章 自治州人民代表大会常务委员会立法程序"/>
      <w:bookmarkEnd w:id="28"/>
      <w:r>
        <w:rPr>
          <w:rFonts w:hint="eastAsia" w:ascii="Times New Roman" w:hAnsi="Times New Roman" w:eastAsia="黑体" w:cs="黑体"/>
          <w:szCs w:val="32"/>
        </w:rPr>
        <w:t>第四章　自治州人民代表大会常务委员会立法程序</w:t>
      </w:r>
    </w:p>
    <w:p w14:paraId="314529AA">
      <w:pPr>
        <w:rPr>
          <w:rFonts w:ascii="Times New Roman" w:hAnsi="Times New Roman" w:eastAsia="宋体" w:cs="宋体"/>
          <w:szCs w:val="32"/>
        </w:rPr>
      </w:pPr>
    </w:p>
    <w:p w14:paraId="70A0E086">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主任会议可以向常务委员会提出法规案，由常务委员会会议审议。</w:t>
      </w:r>
    </w:p>
    <w:p w14:paraId="09E5244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专门委员会可以向常务委员会提出法规案，由主任会议决定列入常务委员会会议议程，或者先交有关的专门委员会审议、提出报告，再决定列入常务委员会会议议程。主任会议认为法规案有重大问题需要进一步研究，可以建议提案人修改完善后再向常务委员会提出。</w:t>
      </w:r>
    </w:p>
    <w:p w14:paraId="4A51806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主任会议决定是否列入常务委员会会议议程，或者先交有关的专门委员会审议，提出是否列入会议议程的意见，再决定是否列入会议议程；不列入会议议程的，应当向常务委员会会议报告并向提案人说明。</w:t>
      </w:r>
    </w:p>
    <w:p w14:paraId="09603A73">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7B9D3C12">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有关的专门委员会审议法规案，应当听取法规草案起草情况的汇报，围绕法规草案开展调查研究，充分征求各方面的意见建议，对法规草案的必要性、合法性、可行性等问题进行审议。</w:t>
      </w:r>
    </w:p>
    <w:p w14:paraId="1AE66EC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主任会议决定列入常务委员会会议议程的，有关的专门委员会应当将报告或者审议意见印发常务委员会会议；常务委员会审议结束后，有关的专门委员会应当将前期征集的意见和常务委员会组成人员的审议意见进行汇总梳理，交常务委员会法制工作机构。</w:t>
      </w:r>
    </w:p>
    <w:p w14:paraId="0F9801BE">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提请常务委员会会议审议的法规案，除特殊情况外，应当在会议举行的七日前将法规草案及有关资料印发常务委员会组成人员。常务委员会组成人员应当对法规案进行研究，准备审议意见。</w:t>
      </w:r>
    </w:p>
    <w:p w14:paraId="640420E7">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列入常务委员会会议议程的法规案，调整事项较为单一或者属于部分修改的法规案，各方面意见比较一致的，或者遇有紧急情形的，可以经一次常务委员会会议审议后交付表决。</w:t>
      </w:r>
    </w:p>
    <w:p w14:paraId="0A14B090">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交付表决的法规案，常务委员会会议审议时，在全体会议上听取提案人的说明，由分组会议对法规案进行审议。法制委员会根据各方面的意见进行统一审议，提出审议结果的报告和法规草案修改稿，由主任会议决定交付全体会议表决。</w:t>
      </w:r>
    </w:p>
    <w:p w14:paraId="710DFDD2">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列入常务委员会会议议程的法规案，一般应当经过两次常务委员会会议审议后交付表决。调整事项较为复杂的，经主任会议决定可以隔次审议。</w:t>
      </w:r>
    </w:p>
    <w:p w14:paraId="1F1950FD">
      <w:pPr>
        <w:ind w:firstLine="632" w:firstLineChars="200"/>
        <w:rPr>
          <w:rFonts w:ascii="Times New Roman" w:hAnsi="Times New Roman" w:cs="仿宋_GB2312"/>
          <w:sz w:val="32"/>
          <w:szCs w:val="32"/>
        </w:rPr>
      </w:pPr>
      <w:r>
        <w:rPr>
          <w:rFonts w:hint="eastAsia" w:ascii="Times New Roman" w:hAnsi="Times New Roman" w:cs="仿宋_GB2312"/>
          <w:sz w:val="32"/>
          <w:szCs w:val="32"/>
        </w:rPr>
        <w:t>经两次常务委员会会议审议交付表决的法规案，常务委员会会议第一次审议时，在全体会议上听取提案人的说明，由分组会议对法规案进行审议；常务委员会会议第一次审议结束后，法制委员会根据各方面的意见进行统一审议。常务委员会会议第二次审议时，在全体会议上听取法制委员会关于法规草案审议结果的报告，由分组会议对法规草案修改稿进行审议；法制委员会根据分组审议的意见进行统一审议，提出修改情况的报告和法规草案表决稿，由主任会议决定交付全体会议表决。</w:t>
      </w:r>
    </w:p>
    <w:p w14:paraId="69422437">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列入常务委员会会议议程的法规案，经常务委员会两次会议审议，仍有重大问题需要进一步研究的，经主任会议决定，可以经三次常务委员会会议审议后再交付表决，也可以在第三次常务委员会会议上直接表决。</w:t>
      </w:r>
    </w:p>
    <w:p w14:paraId="3C6CF240">
      <w:pPr>
        <w:ind w:firstLine="632" w:firstLineChars="200"/>
        <w:rPr>
          <w:rFonts w:ascii="Times New Roman" w:hAnsi="Times New Roman" w:cs="仿宋_GB2312"/>
          <w:sz w:val="32"/>
          <w:szCs w:val="32"/>
        </w:rPr>
      </w:pPr>
      <w:r>
        <w:rPr>
          <w:rFonts w:hint="eastAsia" w:ascii="Times New Roman" w:hAnsi="Times New Roman" w:cs="仿宋_GB2312"/>
          <w:sz w:val="32"/>
          <w:szCs w:val="32"/>
        </w:rPr>
        <w:t>经三次常务委员会会议审议交付表决的法规案，常务委员会会议第一次审议时，在全体会议上听取提案人的说明，由分组会议对法规案进行审议；常务委员会会议第一次审议结束后，法制委员会根据各方面提出的意见进行统一审议。常务委员会会议第二次审议时，在全体会议上听取法制委员会关于法规草案修改情况的报告，由分组会议对法规草案修改稿进行审议；常务委员会会议第二次审议结束后，法制委员会根据各方面的意见进行统一审议。常务委员会会议第三次审议时，在全体会议上听取法制委员会关于法规草案审议结果的报告，由分组会议对法规草案二次修改稿进行审议；法制委员会根据分组审议的意见进行统一审议，提出修改情况的报告和法规草案表决稿，由主任会议决定交付全体会议表决。</w:t>
      </w:r>
    </w:p>
    <w:p w14:paraId="67E96861">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审议的法规案，因存在较大意见分歧搁置满两年的，或者因暂不交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77CF4CB6">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拟提请常务委员会会议审议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14:paraId="32F51953">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审议法规案，根据需要，可以召开联组会议或者全体会议进行审议。法制委员会、有关的专门委员会审议法规案时，应当召开全体会议审议，可以邀请有关专门委员会的成员、常务委员会工作机构负责人列席会议，发表意见；根据需要，可以要求有关机关、组织派有关负责人到会说明情况。</w:t>
      </w:r>
    </w:p>
    <w:p w14:paraId="17498EF1">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常务委员会组成人员、有关的专门委员会，对法规案的重要意见不一致时，法制委员会应当向主任会议报告。对重要意见没有采纳的，应当予以反馈。</w:t>
      </w:r>
    </w:p>
    <w:p w14:paraId="07C87180">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法制委员会、有关的专门委员会或者常务委员会有关工作机构应当听取各方面的意见，并将法规草案发送有关机关、组织征求意见。听取意见可以采取座谈会、论证会、听证会等多种形式。</w:t>
      </w:r>
    </w:p>
    <w:p w14:paraId="14C9795D">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常务委员会会议审议法规案时，经主任会议决定，公民可以到会旁听，具体旁听办法由主任会议确定。</w:t>
      </w:r>
    </w:p>
    <w:p w14:paraId="528D4C0D">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6038C638">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列入常务委员会会议议程的法规案，在交付表决前，提案人要求撤回的，应当提出书面报告，说明理由，经主任会议同意，并向常务委员会报告，对该法规案的审议即行终止。</w:t>
      </w:r>
    </w:p>
    <w:p w14:paraId="27D898C0">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法规草案表决稿交付常务委员会会议表决前，主任会议根据常务委员会会议审议的情况，可以决定将个别意见分歧较大的重要条款提请常务委员会会议单独表决。单独表决的条款经常务委员会会议表决后，主任会议根据单独表决的情况，可以决定将法规草案表决稿交付表决，也可以决定暂不付表决，交法制委员会和有关的专门委员会进一步审议。</w:t>
      </w:r>
    </w:p>
    <w:p w14:paraId="59E8C1DC">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对多件地方性法规中的个别条款进行修改，一并提出法规案的，经主任会议决定，可以合并表决，也可以分别表决。</w:t>
      </w:r>
    </w:p>
    <w:p w14:paraId="6A0429F5">
      <w:pPr>
        <w:ind w:firstLine="632" w:firstLineChars="200"/>
        <w:rPr>
          <w:rFonts w:ascii="Times New Roman" w:hAnsi="Times New Roman" w:cs="仿宋_GB2312"/>
          <w:sz w:val="32"/>
          <w:szCs w:val="32"/>
        </w:rPr>
      </w:pPr>
      <w:r>
        <w:rPr>
          <w:rFonts w:hint="eastAsia" w:ascii="Times New Roman" w:hAnsi="Times New Roman" w:cs="仿宋_GB2312"/>
          <w:sz w:val="32"/>
          <w:szCs w:val="32"/>
        </w:rPr>
        <w:t>交付常务委员会会议表决的法规案，以常务委员会全体组成人员的过半数通过。经常务委员会全体会议表决未获得通过的法规案，如果提案人认为必须制定的，可以按照本章规定的程序重新提出。</w:t>
      </w:r>
    </w:p>
    <w:p w14:paraId="051EC712">
      <w:pPr>
        <w:rPr>
          <w:rFonts w:ascii="Times New Roman" w:hAnsi="Times New Roman" w:eastAsia="宋体" w:cs="宋体"/>
          <w:szCs w:val="32"/>
        </w:rPr>
      </w:pPr>
    </w:p>
    <w:p w14:paraId="104FC895">
      <w:pPr>
        <w:jc w:val="center"/>
        <w:rPr>
          <w:rFonts w:ascii="Times New Roman" w:hAnsi="Times New Roman" w:eastAsia="黑体" w:cs="黑体"/>
          <w:szCs w:val="32"/>
        </w:rPr>
      </w:pPr>
      <w:bookmarkStart w:id="44" w:name="第五章 其他规定"/>
      <w:bookmarkEnd w:id="44"/>
      <w:r>
        <w:rPr>
          <w:rFonts w:hint="eastAsia" w:ascii="Times New Roman" w:hAnsi="Times New Roman" w:eastAsia="黑体" w:cs="黑体"/>
          <w:szCs w:val="32"/>
        </w:rPr>
        <w:t>第五章　其他规定</w:t>
      </w:r>
    </w:p>
    <w:p w14:paraId="4474A857">
      <w:pPr>
        <w:rPr>
          <w:rFonts w:ascii="Times New Roman" w:hAnsi="Times New Roman" w:eastAsia="宋体" w:cs="宋体"/>
          <w:szCs w:val="32"/>
        </w:rPr>
      </w:pPr>
    </w:p>
    <w:p w14:paraId="6409E2C3">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向自治州人民代表大会及其常务委员会提出法规案，应当包括草案文本及其说明，并提供与法规草案相关的法律、法规、规章及国家、自治区、自治州的政策性文件和其他省区市立法的情况等必要的参阅资料。说明应当包括制定该项法规的必要性、可行性、起草过程、主要内容以及对重大分歧意见的协调处理情况，法规案设定行政许可、行政处罚、行政强制以及涉及社会公众切身利益等内容的，应当具体说明依法举行听证会、论证会或者其他公开方式征求意见和意见采纳情况。修改法规的，还应当提交修改前后的对照文本。</w:t>
      </w:r>
    </w:p>
    <w:p w14:paraId="143A120A">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自治州人民代表大会及其常务委员会会议审议法规案时，提案人应当派人听取意见，回答询问。根据需要，有关机关、组织应当派人介绍情况。</w:t>
      </w:r>
    </w:p>
    <w:p w14:paraId="29098DEE">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人民代表大会及其常务委员会制定的地方性法规、自治条例和单行条例，如果条文本身需要进一步明确具体含义或者实施后出现新的情况，需要明确适用依据的，由自治州人民代表大会常务委员会负责解释。</w:t>
      </w:r>
    </w:p>
    <w:p w14:paraId="78D38D4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和单行条例解释草案由自治州人民代表大会常务委员会有关工作机构研究拟定，报主任会议决定列入常务委员会会议议程，经过常务委员会会议审议，由法制委员会根据审议意见进行统一审议，提出解释草案表决稿，由主任会议决定交付全体会议表决，经常务委员会全体组成人员过半数通过，报自治区人民代表大会常务委员会批准。</w:t>
      </w:r>
    </w:p>
    <w:p w14:paraId="3EABF87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地方性法规、自治条例、单行条例解释与地方性法规、自治条例和单行条例具有同等效力。</w:t>
      </w:r>
    </w:p>
    <w:p w14:paraId="797B45B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法制工作机构可以会同有关工作机构，对自治州人民代表大会及其常务委员会制定的地方性法规、自治条例和单行条例有关具体问题的询问予以研究答复，并报自治州人民代表大会常务委员会备案。</w:t>
      </w:r>
    </w:p>
    <w:p w14:paraId="164FDE4E">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自治州人民代表大会常务委员会对获得批准的地方性法规、自治条例和单行条例及法规解释发布公告予以公布。法规文本以及草案的说明、审议结果的报告等，应当及时在《伊犁日报》、伊犁人大网上全文刊载。</w:t>
      </w:r>
    </w:p>
    <w:p w14:paraId="1E31029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自治州人民代表大会常务委员会工作机构应当加强立法宣传工作，通过多种形式发布立法信息、介绍情况、回应关切。</w:t>
      </w:r>
    </w:p>
    <w:p w14:paraId="15DB976C">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制定或者修改的地方性法规、自治条例和单行条例实施满两年的，主任会议可以决定由有关的专门委员会、常务委员会有关工作机构进行立法后评估或者委托第三方进行立法后评估。</w:t>
      </w:r>
    </w:p>
    <w:p w14:paraId="548E3F0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立法后评估应当从合法性、适当性、规范性、协调性、可操作性、实效性等方面进行。评估报告包括下列主要内容：</w:t>
      </w:r>
    </w:p>
    <w:p w14:paraId="7D4897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（一）地方性法规实施的基本情况；</w:t>
      </w:r>
    </w:p>
    <w:p w14:paraId="2FB323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（二）地方性法规对经济、社会、环境等产生的影响；</w:t>
      </w:r>
    </w:p>
    <w:p w14:paraId="24E34A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（三）地方性法规存在的问题；</w:t>
      </w:r>
    </w:p>
    <w:p w14:paraId="017B9A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（四）对地方性法规的实施、修改、废止的意见和建议。</w:t>
      </w:r>
    </w:p>
    <w:p w14:paraId="60F0D477">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评估情况应当向常务委员会报告。</w:t>
      </w:r>
    </w:p>
    <w:p w14:paraId="6C5B6265">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地方性法规、自治条例和单行条例明确要求有关国家机关对专门事项作出配套具体规定的，有关国家机关应当自地方性法规、自治条例和单行条例施行之日起一年内作出规定，未能在期限内作出配套具体规定的，应当向自治州人民代表大会常务委员会说明情况。地方性法规、自治条例和单行条例对配套具体规定制定期限另有规定的，从其规定。</w:t>
      </w:r>
    </w:p>
    <w:p w14:paraId="04C06EE6">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自治州人民代表大会及其常务委员会制定的地方性法规、自治条例和单行条例，由自治州人民代表大会常务委员会在法规公布后三十日内报自治区人民代表大会常务委员会备案。</w:t>
      </w:r>
    </w:p>
    <w:p w14:paraId="5824A1CC">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对地方性法规、自治条例、单行条例和其他规范性文件，制定机关根据维护法制统一的原则和改革发展的需要进行清理。</w:t>
      </w:r>
    </w:p>
    <w:p w14:paraId="0E148504">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自治州地方性法规、自治条例和单行条例的修改和废止程序，适用本条例的有关规定。</w:t>
      </w:r>
    </w:p>
    <w:p w14:paraId="5A78988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地方性法规、自治条例和单行条例部分条文被修改的，应当公布新的文本；被废止的，应当由自治州人民代表大会常务委员会发布公告予以公布。</w:t>
      </w:r>
    </w:p>
    <w:p w14:paraId="4C6D3965">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自治州人民代表大会及其常务委员会作出有关地方性法规、自治条例和单行条例问题的决定，适用本条例的有关规定。</w:t>
      </w:r>
    </w:p>
    <w:p w14:paraId="4C2792BC">
      <w:pPr>
        <w:rPr>
          <w:rFonts w:ascii="Times New Roman" w:hAnsi="Times New Roman" w:eastAsia="宋体" w:cs="宋体"/>
          <w:szCs w:val="32"/>
        </w:rPr>
      </w:pPr>
    </w:p>
    <w:p w14:paraId="3324B202">
      <w:pPr>
        <w:jc w:val="center"/>
        <w:rPr>
          <w:rFonts w:ascii="Times New Roman" w:hAnsi="Times New Roman" w:eastAsia="黑体" w:cs="黑体"/>
          <w:szCs w:val="32"/>
        </w:rPr>
      </w:pPr>
      <w:bookmarkStart w:id="56" w:name="第六章 附则"/>
      <w:bookmarkEnd w:id="56"/>
      <w:r>
        <w:rPr>
          <w:rFonts w:hint="eastAsia" w:ascii="Times New Roman" w:hAnsi="Times New Roman" w:eastAsia="黑体" w:cs="黑体"/>
          <w:szCs w:val="32"/>
        </w:rPr>
        <w:t>第六章　附　　则</w:t>
      </w:r>
    </w:p>
    <w:p w14:paraId="7AE0C35A">
      <w:pPr>
        <w:rPr>
          <w:rFonts w:ascii="Times New Roman" w:hAnsi="Times New Roman" w:eastAsia="宋体" w:cs="宋体"/>
          <w:szCs w:val="32"/>
        </w:rPr>
      </w:pPr>
    </w:p>
    <w:p w14:paraId="6848F721">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2025年5月1日起施行。2017年2月20日伊犁哈萨克自治州第十四届人民代表大会第一次会议通过，2017年5月27日新疆维吾尔自治区第十二届人民代表大会常务委员会第二十九次会议批准的《伊犁哈萨克自治州立法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6B27509"/>
    <w:rsid w:val="479733DA"/>
    <w:rsid w:val="481351D2"/>
    <w:rsid w:val="4AB1034C"/>
    <w:rsid w:val="5248189E"/>
    <w:rsid w:val="53543565"/>
    <w:rsid w:val="558A062C"/>
    <w:rsid w:val="55D20C3F"/>
    <w:rsid w:val="57CC3356"/>
    <w:rsid w:val="5B8E0527"/>
    <w:rsid w:val="5BE87A71"/>
    <w:rsid w:val="5F066F8F"/>
    <w:rsid w:val="610A6964"/>
    <w:rsid w:val="622F12CF"/>
    <w:rsid w:val="63A92BB6"/>
    <w:rsid w:val="690C6475"/>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8713</Words>
  <Characters>8732</Characters>
  <Lines>87</Lines>
  <Paragraphs>24</Paragraphs>
  <TotalTime>1</TotalTime>
  <ScaleCrop>false</ScaleCrop>
  <LinksUpToDate>false</LinksUpToDate>
  <CharactersWithSpaces>8805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2025-05-21T12:17:42Z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C9D762B8704A4C899D25C61A9CD44EE7_13</vt:lpwstr>
  </property>
  <property fmtid="{D5CDD505-2E9C-101B-9397-08002B2CF9AE}" pid="3" name="KSOProductBuildVer">
    <vt:lpwstr>2052-12.1.0.21171</vt:lpwstr>
  </property>
  <property fmtid="{D5CDD505-2E9C-101B-9397-08002B2CF9AE}" pid="4" name="KSOTemplateDocerSaveRecord">
    <vt:lpwstr>eyJoZGlkIjoiMmUyMDJiYWIyOWJkZDIxMmZjMTI1NjJiOTNiNzNiZjEiLCJ1c2VySWQiOiIyMzk1MzgzMzIifQ==</vt:lpwstr>
  </property>
</Properties>
</file>