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87B868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保障中小企业款项支付条例"/>
      <w:bookmarkEnd w:id="0"/>
      <w:r>
        <w:rPr>
          <w:rFonts w:hint="eastAsia" w:ascii="方正小标宋简体" w:hAnsi="方正小标宋简体" w:eastAsia="方正小标宋简体" w:cs="方正小标宋简体"/>
          <w:color w:val="333333"/>
          <w:sz w:val="44"/>
          <w:szCs w:val="44"/>
          <w:shd w:val="clear" w:color="auto" w:fill="FFFFFF"/>
        </w:rPr>
        <w:t>保障中小企业款项支付条例</w:t>
      </w:r>
    </w:p>
    <w:p w14:paraId="2088D0A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（2020年7月5日中华人民共和国国务院令第728号公布　2025年3月17日中华人民共和国国务院令第802号修订）</w:t>
      </w:r>
    </w:p>
    <w:p w14:paraId="7194C6A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w:t>
      </w:r>
      <w:bookmarkStart w:id="44" w:name="_GoBack"/>
      <w:bookmarkEnd w:id="44"/>
      <w:r>
        <w:rPr>
          <w:rFonts w:hint="eastAsia" w:ascii="Times New Roman" w:hAnsi="Times New Roman" w:eastAsia="黑体" w:cs="黑体"/>
          <w:szCs w:val="32"/>
        </w:rPr>
        <w:t>　　则</w:t>
      </w:r>
    </w:p>
    <w:p w14:paraId="2EB2E74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为了促进机关、事业单位和大型企业及时支付中小企业款项，维护中小企业合法权益，优化营商环境，根据《中华人民共和国中小企业促进法》等法律，制定本条例。</w:t>
      </w:r>
    </w:p>
    <w:p w14:paraId="6D052F1F">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机关、事业单位和大型企业采购货物、工程、服务支付中小企业款项，应当遵守本条例。</w:t>
      </w:r>
    </w:p>
    <w:p w14:paraId="3CBD850F">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本条例所称中小企业，是指在中华人民共和国境内依法设立，依据国务院批准的中小企业划分标准确定的中型企业、小型企业和微型企业；所称大型企业，是指中小企业以外的企业。</w:t>
      </w:r>
    </w:p>
    <w:p w14:paraId="25ABD7E2">
      <w:pPr>
        <w:ind w:firstLine="632" w:firstLineChars="200"/>
        <w:rPr>
          <w:rFonts w:ascii="Times New Roman" w:hAnsi="Times New Roman" w:cs="仿宋_GB2312"/>
          <w:sz w:val="32"/>
          <w:szCs w:val="32"/>
        </w:rPr>
      </w:pPr>
      <w:r>
        <w:rPr>
          <w:rFonts w:hint="eastAsia" w:ascii="Times New Roman" w:hAnsi="Times New Roman" w:cs="仿宋_GB2312"/>
          <w:sz w:val="32"/>
          <w:szCs w:val="32"/>
        </w:rPr>
        <w:t>中小企业、大型企业依合同订立时的企业规模类型确定。中小企业与机关、事业单位、大型企业订立合同时，应当主动告知其属于中小企业。</w:t>
      </w:r>
    </w:p>
    <w:p w14:paraId="32CB7B67">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保障中小企业款项支付工作，应当贯彻落实党和国家的路线方针政策、决策部署，坚持支付主体负责、行业规范自律、政府依法监管、社会协同监督的原则，依法防范和治理拖欠中小企业款项问题。</w:t>
      </w:r>
    </w:p>
    <w:p w14:paraId="756EA1DE">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国务院负责中小企业促进工作综合管理的部门对保障中小企业款项支付工作进行综合协调、监督检查。国务院发展改革、财政、住房城乡建设、交通运输、水利、金融管理、国有资产监管、市场监督管理等有关部门应当按照职责分工，负责保障中小企业款项支付相关工作。</w:t>
      </w:r>
    </w:p>
    <w:p w14:paraId="6BC10A65">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省、自治区、直辖市人民政府对本行政区域内保障中小企业款项支付工作负总责，加强组织领导、统筹协调，健全制度机制。县级以上地方人民政府负责本行政区域内保障中小企业款项支付的管理工作。</w:t>
      </w:r>
    </w:p>
    <w:p w14:paraId="1391358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负责中小企业促进工作综合管理的部门和发展改革、财政、住房城乡建设、交通运输、水利、金融管理、国有资产监管、市场监督管理等有关部门应当按照职责分工，负责保障中小企业款项支付相关工作。</w:t>
      </w:r>
    </w:p>
    <w:p w14:paraId="70F584E1">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有关行业协会商会应当按照法律法规和组织章程，加强行业自律管理，规范引导本行业大型企业履行及时支付中小企业款项义务、不得利用优势地位拖欠中小企业款项，为中小企业提供信息咨询、权益保护、纠纷处理等方面的服务，保护中小企业合法权益。</w:t>
      </w:r>
    </w:p>
    <w:p w14:paraId="5B9EFB0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鼓励大型企业公开承诺向中小企业采购货物、工程、服务的付款期限与方式。</w:t>
      </w:r>
    </w:p>
    <w:p w14:paraId="094FE588">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机关、事业单位和大型企业不得要求中小企业接受不合理的付款期限、方式、条件和违约责任等交易条件，不得拖欠中小企业的货物、工程、服务款项。</w:t>
      </w:r>
    </w:p>
    <w:p w14:paraId="7213EF45">
      <w:pPr>
        <w:ind w:firstLine="632" w:firstLineChars="200"/>
        <w:rPr>
          <w:rFonts w:ascii="Times New Roman" w:hAnsi="Times New Roman" w:cs="仿宋_GB2312"/>
          <w:sz w:val="32"/>
          <w:szCs w:val="32"/>
        </w:rPr>
      </w:pPr>
      <w:r>
        <w:rPr>
          <w:rFonts w:hint="eastAsia" w:ascii="Times New Roman" w:hAnsi="Times New Roman" w:cs="仿宋_GB2312"/>
          <w:sz w:val="32"/>
          <w:szCs w:val="32"/>
        </w:rPr>
        <w:t>中小企业应当依法经营，诚实守信，按照合同约定提供合格的货物、工程和服务。</w:t>
      </w:r>
    </w:p>
    <w:p w14:paraId="6577C9C7">
      <w:pPr>
        <w:rPr>
          <w:rFonts w:ascii="Times New Roman" w:hAnsi="Times New Roman" w:eastAsia="宋体" w:cs="宋体"/>
          <w:szCs w:val="32"/>
        </w:rPr>
      </w:pPr>
    </w:p>
    <w:p w14:paraId="1185296A">
      <w:pPr>
        <w:jc w:val="center"/>
        <w:rPr>
          <w:rFonts w:ascii="Times New Roman" w:hAnsi="Times New Roman" w:eastAsia="黑体" w:cs="黑体"/>
          <w:szCs w:val="32"/>
        </w:rPr>
      </w:pPr>
      <w:bookmarkStart w:id="10" w:name="第二章 款项支付规定"/>
      <w:bookmarkEnd w:id="10"/>
      <w:r>
        <w:rPr>
          <w:rFonts w:hint="eastAsia" w:ascii="Times New Roman" w:hAnsi="Times New Roman" w:eastAsia="黑体" w:cs="黑体"/>
          <w:szCs w:val="32"/>
        </w:rPr>
        <w:t>第二章　款项支付规定</w:t>
      </w:r>
    </w:p>
    <w:p w14:paraId="49421CE5">
      <w:pPr>
        <w:rPr>
          <w:rFonts w:ascii="Times New Roman" w:hAnsi="Times New Roman" w:eastAsia="宋体" w:cs="宋体"/>
          <w:szCs w:val="32"/>
        </w:rPr>
      </w:pPr>
    </w:p>
    <w:p w14:paraId="0F4DC8F9">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机关、事业单位使用财政资金从中小企业采购货物、工程、服务，应当严格按照批准的预算执行，不得无预算、超预算开展采购。</w:t>
      </w:r>
    </w:p>
    <w:p w14:paraId="64570EC4">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政府投资项目所需资金应当按照国家有关规定确保落实到位，不得由施工单位垫资建设。</w:t>
      </w:r>
    </w:p>
    <w:p w14:paraId="4101B98E">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机关、事业单位从中小企业采购货物、工程、服务，应当自货物、工程、服务交付之日起30日内支付款项；合同另有约定的，从其约定，但付款期限最长不得超过60日。</w:t>
      </w:r>
    </w:p>
    <w:p w14:paraId="351E0E15">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企业从中小企业采购货物、工程、服务，应当自货物、工程、服务交付之日起60日内支付款项；合同另有约定的，从其约定，但应当按照行业规范、交易习惯合理约定付款期限并及时支付款项，不得约定以收到第三方付款作为向中小企业支付款项的条件或者按照第三方付款进度比例支付中小企业款项。</w:t>
      </w:r>
    </w:p>
    <w:p w14:paraId="325FA7B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法律、行政法规或者国家有关规定对本条第一款、第二款付款期限另有规定的，从其规定。</w:t>
      </w:r>
    </w:p>
    <w:p w14:paraId="177C14EC">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合同约定采取履行进度结算、定期结算等结算方式的，付款期限应当自双方确认结算金额之日起算。</w:t>
      </w:r>
    </w:p>
    <w:p w14:paraId="1285025A">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机关、事业单位和大型企业与中小企业约定以货物、工程、服务交付后经检验或者验收合格作为支付中小企业款项条件的，付款期限应当自检验或者验收合格之日起算。</w:t>
      </w:r>
    </w:p>
    <w:p w14:paraId="38078406">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双方应当在合同中约定明确、合理的检验或者验收期限，并在该期限内完成检验或者验收，法律、行政法规或者国家有关规定对检验或者验收期限另有规定的，从其规定。机关、事业单位和大型企业拖延检验或者验收的，付款期限自约定的检验或者验收期限届满之日起算。</w:t>
      </w:r>
    </w:p>
    <w:p w14:paraId="19E4259C">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机关、事业单位和大型企业使用商业汇票、应收账款电子凭证等非现金支付方式支付中小企业款项的，应当在合同中作出明确、合理约定，不得强制中小企业接受商业汇票、应收账款电子凭证等非现金支付方式，不得利用商业汇票、应收账款电子凭证等非现金支付方式变相延长付款期限。</w:t>
      </w:r>
    </w:p>
    <w:p w14:paraId="59EC4F94">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机关、事业单位和国有大型企业不得强制要求以审计机关的审计结果作为结算依据，法律、行政法规另有规定的除外。</w:t>
      </w:r>
    </w:p>
    <w:p w14:paraId="7909F1FE">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除依法设立的投标保证金、履约保证金、工程质量保证金、农民工工资保证金外，工程建设中不得以任何形式收取其他保证金。保证金的收取比例、方式应当符合法律、行政法规和国家有关规定。</w:t>
      </w:r>
    </w:p>
    <w:p w14:paraId="6BC8A98C">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机关、事业单位和大型企业不得将保证金限定为现金。中小企业以金融机构出具的保函等提供保证的，机关、事业单位和大型企业应当接受。</w:t>
      </w:r>
    </w:p>
    <w:p w14:paraId="0046D3A5">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机关、事业单位和大型企业应当依法或者按照合同约定，在保证期限届满后及时与中小企业对收取的保证金进行核算并退还。</w:t>
      </w:r>
    </w:p>
    <w:p w14:paraId="7EB0F9F5">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机关、事业单位和大型企业不得以法定代表人或者主要负责人变更，履行内部付款流程，或者在合同未作约定的情况下以等待竣工验收备案、决算审计等为由，拒绝或者迟延支付中小企业款项。</w:t>
      </w:r>
    </w:p>
    <w:p w14:paraId="02985A64">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机关、事业单位和大型企业与中小企业的交易，部分存在争议但不影响其他部分履行的，对于无争议部分应当履行及时付款义务。</w:t>
      </w:r>
    </w:p>
    <w:p w14:paraId="18E1A052">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鼓励、引导、支持商业银行等金融机构增加对中小企业的信贷投放，降低中小企业综合融资成本，为中小企业以应收账款、知识产权、政府采购合同、存货、机器设备等为担保品的融资提供便利。</w:t>
      </w:r>
    </w:p>
    <w:p w14:paraId="53E53CD5">
      <w:pPr>
        <w:ind w:firstLine="632" w:firstLineChars="200"/>
        <w:rPr>
          <w:rFonts w:ascii="Times New Roman" w:hAnsi="Times New Roman" w:cs="仿宋_GB2312"/>
          <w:sz w:val="32"/>
          <w:szCs w:val="32"/>
        </w:rPr>
      </w:pPr>
      <w:r>
        <w:rPr>
          <w:rFonts w:hint="eastAsia" w:ascii="Times New Roman" w:hAnsi="Times New Roman" w:cs="仿宋_GB2312"/>
          <w:sz w:val="32"/>
          <w:szCs w:val="32"/>
        </w:rPr>
        <w:t>中小企业以应收账款融资的，机关、事业单位和大型企业应当自中小企业提出确权请求之日起30日内确认债权债务关系，支持中小企业融资。</w:t>
      </w:r>
    </w:p>
    <w:p w14:paraId="3C4FD7E2">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机关、事业单位和大型企业迟延支付中小企业款项的，应当支付逾期利息。双方对逾期利息的利率有约定的，约定利率不得低于合同订立时1年期贷款市场报价利率；未作约定的，按照每日利率万分之五支付逾期利息。</w:t>
      </w:r>
    </w:p>
    <w:p w14:paraId="6BD5ED93">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机关、事业单位应当于每年3月31日前将上一年度逾期尚未支付中小企业款项的合同数量、金额等信息通过网站、报刊等便于公众知晓的方式公开。</w:t>
      </w:r>
    </w:p>
    <w:p w14:paraId="6D72969D">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大型企业应当将逾期尚未支付中小企业款项的合同数量、金额等信息纳入企业年度报告，依法通过国家企业信用信息公示系统向社会公示。</w:t>
      </w:r>
    </w:p>
    <w:p w14:paraId="6450ACFC">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大型企业应当将保障中小企业款项支付工作情况，纳入企业风险控制与合规管理体系，并督促其全资或者控股子公司及时支付中小企业款项。</w:t>
      </w:r>
    </w:p>
    <w:p w14:paraId="0656A99C">
      <w:pPr>
        <w:ind w:firstLine="632" w:firstLineChars="200"/>
        <w:rPr>
          <w:rFonts w:ascii="Times New Roman" w:hAnsi="Times New Roman" w:cs="仿宋_GB2312"/>
          <w:sz w:val="32"/>
          <w:szCs w:val="32"/>
        </w:rPr>
      </w:pPr>
      <w:bookmarkStart w:id="23" w:name="第二十条"/>
      <w:bookmarkEnd w:id="23"/>
      <w:r>
        <w:rPr>
          <w:rFonts w:hint="eastAsia" w:ascii="Times New Roman" w:hAnsi="Times New Roman" w:eastAsia="黑体" w:cs="黑体"/>
          <w:sz w:val="32"/>
          <w:szCs w:val="32"/>
        </w:rPr>
        <w:t>第二十条</w:t>
      </w:r>
      <w:r>
        <w:rPr>
          <w:rFonts w:hint="eastAsia" w:ascii="Times New Roman" w:hAnsi="Times New Roman" w:cs="仿宋_GB2312"/>
          <w:sz w:val="32"/>
          <w:szCs w:val="32"/>
        </w:rPr>
        <w:t>　机关、事业单位和大型企业及其工作人员不得以任何形式对提出付款请求或者投诉的中小企业及其工作人员进行恐吓、打击报复。</w:t>
      </w:r>
    </w:p>
    <w:p w14:paraId="0DF7CA29">
      <w:pPr>
        <w:rPr>
          <w:rFonts w:ascii="Times New Roman" w:hAnsi="Times New Roman" w:eastAsia="宋体" w:cs="宋体"/>
          <w:szCs w:val="32"/>
        </w:rPr>
      </w:pPr>
    </w:p>
    <w:p w14:paraId="6DF432F5">
      <w:pPr>
        <w:jc w:val="center"/>
        <w:rPr>
          <w:rFonts w:ascii="Times New Roman" w:hAnsi="Times New Roman" w:eastAsia="黑体" w:cs="黑体"/>
          <w:szCs w:val="32"/>
        </w:rPr>
      </w:pPr>
      <w:bookmarkStart w:id="24" w:name="第三章 监督管理"/>
      <w:bookmarkEnd w:id="24"/>
      <w:r>
        <w:rPr>
          <w:rFonts w:hint="eastAsia" w:ascii="Times New Roman" w:hAnsi="Times New Roman" w:eastAsia="黑体" w:cs="黑体"/>
          <w:szCs w:val="32"/>
        </w:rPr>
        <w:t>第三章　监督管理</w:t>
      </w:r>
    </w:p>
    <w:p w14:paraId="55FBAE65">
      <w:pPr>
        <w:rPr>
          <w:rFonts w:ascii="Times New Roman" w:hAnsi="Times New Roman" w:eastAsia="宋体" w:cs="宋体"/>
          <w:szCs w:val="32"/>
        </w:rPr>
      </w:pPr>
    </w:p>
    <w:p w14:paraId="1F815DB1">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县级以上人民政府及其有关部门通过监督检查、函询约谈、督办通报、投诉处理等措施，加大对机关、事业单位和大型企业拖欠中小企业款项的清理力度。</w:t>
      </w:r>
    </w:p>
    <w:p w14:paraId="4DFA97DE">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地方人民政府部门应当每年定期将上一年度逾期尚未支付中小企业款项情况按程序报告本级人民政府。事业单位、国有大型企业应当每年定期将上一年度逾期尚未支付中小企业款项情况按程序报其主管部门或者监管部门。</w:t>
      </w:r>
    </w:p>
    <w:p w14:paraId="413FFA7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县级以上地方人民政府应当每年定期听取本行政区域内保障中小企业款项支付工作汇报，加强督促指导，研究解决突出问题。</w:t>
      </w:r>
    </w:p>
    <w:p w14:paraId="0A2380D0">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省级以上人民政府建立督查制度，对保障中小企业款项支付工作进行监督检查，对政策落实不到位、工作推进不力的部门和地方人民政府主要负责人进行约谈。</w:t>
      </w:r>
    </w:p>
    <w:p w14:paraId="4401E02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负责中小企业促进工作综合管理的部门对拖欠中小企业款项的机关、事业单位和大型企业，可以进行函询约谈，对情节严重的，予以督办通报，必要时可以会同拖欠单位上级机关、行业主管部门、监管部门联合进行。</w:t>
      </w:r>
    </w:p>
    <w:p w14:paraId="73EABE63">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省级以上人民政府负责中小企业促进工作综合管理的部门（以下统称受理投诉部门）应当建立便利畅通的渠道，受理对机关、事业单位和大型企业拖欠中小企业款项的投诉。</w:t>
      </w:r>
    </w:p>
    <w:p w14:paraId="59A707A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国务院负责中小企业促进工作综合管理的部门建立国家统一的拖欠中小企业款项投诉平台，加强投诉处理机制建设，与相关部门、地方人民政府信息共享、协同配合。</w:t>
      </w:r>
    </w:p>
    <w:p w14:paraId="483DF528">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受理投诉部门应当按照“属地管理、分级负责，谁主管谁负责、谁监管谁负责”的原则，自正式受理之日起10个工作日内，按程序将投诉转交有关部门或者地方人民政府指定的部门（以下统称处理投诉部门）处理。</w:t>
      </w:r>
    </w:p>
    <w:p w14:paraId="55F3E93E">
      <w:pPr>
        <w:ind w:firstLine="632" w:firstLineChars="200"/>
        <w:rPr>
          <w:rFonts w:ascii="Times New Roman" w:hAnsi="Times New Roman" w:cs="仿宋_GB2312"/>
          <w:sz w:val="32"/>
          <w:szCs w:val="32"/>
        </w:rPr>
      </w:pPr>
      <w:r>
        <w:rPr>
          <w:rFonts w:hint="eastAsia" w:ascii="Times New Roman" w:hAnsi="Times New Roman" w:cs="仿宋_GB2312"/>
          <w:sz w:val="32"/>
          <w:szCs w:val="32"/>
        </w:rPr>
        <w:t>处理投诉部门应当自收到投诉材料之日起30日内形成处理结果，以书面形式反馈投诉人，并反馈受理投诉部门。情况复杂或者有其他特殊原因的，经部门负责人批准，可适当延长，但处理期限最长不得超过90日。</w:t>
      </w:r>
    </w:p>
    <w:p w14:paraId="5AE8A7E5">
      <w:pPr>
        <w:ind w:firstLine="632" w:firstLineChars="200"/>
        <w:rPr>
          <w:rFonts w:ascii="Times New Roman" w:hAnsi="Times New Roman" w:cs="仿宋_GB2312"/>
          <w:sz w:val="32"/>
          <w:szCs w:val="32"/>
        </w:rPr>
      </w:pPr>
      <w:r>
        <w:rPr>
          <w:rFonts w:hint="eastAsia" w:ascii="Times New Roman" w:hAnsi="Times New Roman" w:cs="仿宋_GB2312"/>
          <w:sz w:val="32"/>
          <w:szCs w:val="32"/>
        </w:rPr>
        <w:t>被投诉人应当配合处理投诉部门工作。处理投诉部门应当督促被投诉人及时反馈情况。被投诉人未及时反馈或者未按规定反馈的，处理投诉部门应当向其发出督办书；收到督办书仍拒不配合的，处理投诉部门可以约谈、通报被投诉人，并责令整改。</w:t>
      </w:r>
    </w:p>
    <w:p w14:paraId="58A1DC6C">
      <w:pPr>
        <w:ind w:firstLine="632" w:firstLineChars="200"/>
        <w:rPr>
          <w:rFonts w:ascii="Times New Roman" w:hAnsi="Times New Roman" w:cs="仿宋_GB2312"/>
          <w:sz w:val="32"/>
          <w:szCs w:val="32"/>
        </w:rPr>
      </w:pPr>
      <w:r>
        <w:rPr>
          <w:rFonts w:hint="eastAsia" w:ascii="Times New Roman" w:hAnsi="Times New Roman" w:cs="仿宋_GB2312"/>
          <w:sz w:val="32"/>
          <w:szCs w:val="32"/>
        </w:rPr>
        <w:t>投诉人应当与被投诉人存在合同关系，不得虚假、恶意投诉。</w:t>
      </w:r>
    </w:p>
    <w:p w14:paraId="6BEEB70C">
      <w:pPr>
        <w:ind w:firstLine="632" w:firstLineChars="200"/>
        <w:rPr>
          <w:rFonts w:ascii="Times New Roman" w:hAnsi="Times New Roman" w:cs="仿宋_GB2312"/>
          <w:sz w:val="32"/>
          <w:szCs w:val="32"/>
        </w:rPr>
      </w:pPr>
      <w:r>
        <w:rPr>
          <w:rFonts w:hint="eastAsia" w:ascii="Times New Roman" w:hAnsi="Times New Roman" w:cs="仿宋_GB2312"/>
          <w:sz w:val="32"/>
          <w:szCs w:val="32"/>
        </w:rPr>
        <w:t>受理投诉部门和处理投诉部门的工作人员，对在履行职责中获悉的国家秘密、商业秘密和个人信息负有保密义务。</w:t>
      </w:r>
    </w:p>
    <w:p w14:paraId="6AB273C6">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机关、事业单位和大型企业拖欠中小企业款项依法依规被认定为失信的，受理投诉部门和有关部门按程序将有关失信情况记入相关主体信用记录。情节严重或者造成严重不良社会影响的，将相关信息纳入全国信用信息共享平台和国家企业信用信息公示系统，向社会公示；对机关、事业单位在公务消费、办公用房、经费安排等方面采取必要的限制措施，对大型企业在财政资金支持、投资项目审批、融资获取、市场准入、资质评定、评优评先等方面依法依规予以限制。</w:t>
      </w:r>
    </w:p>
    <w:p w14:paraId="6D965DEE">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审计机关依法对机关、事业单位和国有大型企业支付中小企业款项情况实施审计监督。</w:t>
      </w:r>
    </w:p>
    <w:p w14:paraId="7C30CABB">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国家依法开展中小企业发展环境评估和营商环境评价时，应当将保障中小企业款项支付工作情况纳入评估和评价内容。</w:t>
      </w:r>
    </w:p>
    <w:p w14:paraId="4F520CAE">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国务院负责中小企业促进工作综合管理的部门依据国务院批准的中小企业划分标准，建立企业规模类型测试平台，提供中小企业规模类型自测服务。</w:t>
      </w:r>
    </w:p>
    <w:p w14:paraId="10319150">
      <w:pPr>
        <w:ind w:firstLine="632" w:firstLineChars="200"/>
        <w:rPr>
          <w:rFonts w:ascii="Times New Roman" w:hAnsi="Times New Roman" w:cs="仿宋_GB2312"/>
          <w:sz w:val="32"/>
          <w:szCs w:val="32"/>
        </w:rPr>
      </w:pPr>
      <w:r>
        <w:rPr>
          <w:rFonts w:hint="eastAsia" w:ascii="Times New Roman" w:hAnsi="Times New Roman" w:cs="仿宋_GB2312"/>
          <w:sz w:val="32"/>
          <w:szCs w:val="32"/>
        </w:rPr>
        <w:t>对中小企业规模类型有争议的，可以向主张为中小企业一方所在地的县级以上地方人民政府负责中小企业促进工作综合管理的部门申请认定。人力资源社会保障、市场监督管理、统计等相关部门应当应认定部门的请求，提供必要的协助。</w:t>
      </w:r>
    </w:p>
    <w:p w14:paraId="0C387D50">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国家鼓励法律服务机构为与机关、事业单位和大型企业存在支付纠纷的中小企业提供公益法律服务。</w:t>
      </w:r>
    </w:p>
    <w:p w14:paraId="486C24B1">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新闻媒体应当开展对保障中小企业款项支付相关法律法规政策的公益宣传，依法加强对机关、事业单位和大型企业拖欠中小企业款项行为的舆论监督。</w:t>
      </w:r>
    </w:p>
    <w:p w14:paraId="67B307FC">
      <w:pPr>
        <w:rPr>
          <w:rFonts w:ascii="Times New Roman" w:hAnsi="Times New Roman" w:eastAsia="宋体" w:cs="宋体"/>
          <w:szCs w:val="32"/>
        </w:rPr>
      </w:pPr>
    </w:p>
    <w:p w14:paraId="403C55DE">
      <w:pPr>
        <w:jc w:val="center"/>
        <w:rPr>
          <w:rFonts w:ascii="Times New Roman" w:hAnsi="Times New Roman" w:eastAsia="黑体" w:cs="黑体"/>
          <w:szCs w:val="32"/>
        </w:rPr>
      </w:pPr>
      <w:bookmarkStart w:id="35" w:name="第四章 法律责任"/>
      <w:bookmarkEnd w:id="35"/>
      <w:r>
        <w:rPr>
          <w:rFonts w:hint="eastAsia" w:ascii="Times New Roman" w:hAnsi="Times New Roman" w:eastAsia="黑体" w:cs="黑体"/>
          <w:szCs w:val="32"/>
        </w:rPr>
        <w:t>第四章　法律责任</w:t>
      </w:r>
    </w:p>
    <w:p w14:paraId="67CA74EA">
      <w:pPr>
        <w:rPr>
          <w:rFonts w:ascii="Times New Roman" w:hAnsi="Times New Roman" w:eastAsia="宋体" w:cs="宋体"/>
          <w:szCs w:val="32"/>
        </w:rPr>
      </w:pPr>
    </w:p>
    <w:p w14:paraId="7C57F3D7">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机关、事业单位违反本条例，有下列情形之一的，由其上级机关、主管部门责令改正；拒不改正的，对负有责任的领导人员和直接责任人员依法给予处分：</w:t>
      </w:r>
    </w:p>
    <w:p w14:paraId="5298BFE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（一）未在规定的期限内支付中小企业货物、工程、服务款项；</w:t>
      </w:r>
    </w:p>
    <w:p w14:paraId="4FB988D9">
      <w:pPr>
        <w:ind w:firstLine="632" w:firstLineChars="200"/>
        <w:rPr>
          <w:rFonts w:ascii="Times New Roman" w:hAnsi="Times New Roman" w:cs="仿宋_GB2312"/>
          <w:sz w:val="32"/>
          <w:szCs w:val="32"/>
        </w:rPr>
      </w:pPr>
      <w:r>
        <w:rPr>
          <w:rFonts w:hint="eastAsia" w:ascii="Times New Roman" w:hAnsi="Times New Roman" w:cs="仿宋_GB2312"/>
          <w:sz w:val="32"/>
          <w:szCs w:val="32"/>
        </w:rPr>
        <w:t>（二）拖延检验、验收；</w:t>
      </w:r>
    </w:p>
    <w:p w14:paraId="245735C1">
      <w:pPr>
        <w:ind w:firstLine="632" w:firstLineChars="200"/>
        <w:rPr>
          <w:rFonts w:ascii="Times New Roman" w:hAnsi="Times New Roman" w:cs="仿宋_GB2312"/>
          <w:sz w:val="32"/>
          <w:szCs w:val="32"/>
        </w:rPr>
      </w:pPr>
      <w:r>
        <w:rPr>
          <w:rFonts w:hint="eastAsia" w:ascii="Times New Roman" w:hAnsi="Times New Roman" w:cs="仿宋_GB2312"/>
          <w:sz w:val="32"/>
          <w:szCs w:val="32"/>
        </w:rPr>
        <w:t>（三）强制中小企业接受商业汇票、应收账款电子凭证等非现金支付方式，或者利用商业汇票、应收账款电子凭证等非现金支付方式变相延长付款期限；</w:t>
      </w:r>
    </w:p>
    <w:p w14:paraId="6696D289">
      <w:pPr>
        <w:ind w:firstLine="632" w:firstLineChars="200"/>
        <w:rPr>
          <w:rFonts w:ascii="Times New Roman" w:hAnsi="Times New Roman" w:cs="仿宋_GB2312"/>
          <w:sz w:val="32"/>
          <w:szCs w:val="32"/>
        </w:rPr>
      </w:pPr>
      <w:r>
        <w:rPr>
          <w:rFonts w:hint="eastAsia" w:ascii="Times New Roman" w:hAnsi="Times New Roman" w:cs="仿宋_GB2312"/>
          <w:sz w:val="32"/>
          <w:szCs w:val="32"/>
        </w:rPr>
        <w:t>（四）没有法律、行政法规依据，要求以审计机关的审计结果作为结算依据；</w:t>
      </w:r>
    </w:p>
    <w:p w14:paraId="7EA8FB17">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（五）违法收取保证金，拒绝接受中小企业以金融机构出具的保函等提供保证，或者不及时与中小企业对保证金进行核算并退还；</w:t>
      </w:r>
    </w:p>
    <w:p w14:paraId="2BBC4CE5">
      <w:pPr>
        <w:ind w:firstLine="632" w:firstLineChars="200"/>
        <w:rPr>
          <w:rFonts w:ascii="Times New Roman" w:hAnsi="Times New Roman" w:cs="仿宋_GB2312"/>
          <w:sz w:val="32"/>
          <w:szCs w:val="32"/>
        </w:rPr>
      </w:pPr>
      <w:r>
        <w:rPr>
          <w:rFonts w:hint="eastAsia" w:ascii="Times New Roman" w:hAnsi="Times New Roman" w:cs="仿宋_GB2312"/>
          <w:sz w:val="32"/>
          <w:szCs w:val="32"/>
        </w:rPr>
        <w:t>（六）以法定代表人或者主要负责人变更，履行内部付款流程，或者在合同未作约定的情况下以等待竣工验收备案、决算审计等为由，拒绝或者迟延支付中小企业款项；</w:t>
      </w:r>
    </w:p>
    <w:p w14:paraId="50F0C16B">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（七）未按照规定公开逾期尚未支付中小企业款项信息。</w:t>
      </w:r>
    </w:p>
    <w:p w14:paraId="6FDB8CA5">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机关、事业单位有下列情形之一的，依法追究责任：</w:t>
      </w:r>
    </w:p>
    <w:p w14:paraId="057E9B75">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（一）使用财政资金从中小企业采购货物、工程、服务，未按照批准的预算执行；</w:t>
      </w:r>
    </w:p>
    <w:p w14:paraId="31B88687">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（二）要求施工单位对政府投资项目垫资建设。</w:t>
      </w:r>
    </w:p>
    <w:p w14:paraId="676E507A">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国有大型企业拖欠中小企业款项，造成不良后果或者影响的，对负有责任的国有企业管理人员依法给予处分。</w:t>
      </w:r>
    </w:p>
    <w:p w14:paraId="3FCA0352">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国有大型企业没有法律、行政法规依据，要求以审计机关的审计结果作为结算依据的，由其监管部门责令改正；拒不改正的，对负有责任的国有企业管理人员依法给予处分。</w:t>
      </w:r>
    </w:p>
    <w:p w14:paraId="5AFB9297">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大型企业违反本条例，未按照规定在企业年度报告中公示逾期尚未支付中小企业款项信息或者隐瞒真实情况、弄虚作假的，由市场监督管理部门依法处理。</w:t>
      </w:r>
    </w:p>
    <w:p w14:paraId="50D5DBBE">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机关、事业单位和大型企业及其工作人员对提出付款请求或者投诉的中小企业及其工作人员进行恐吓、打击报复，或者有其他滥用职权、玩忽职守、徇私舞弊行为的，对负有责任的领导人员和直接责任人员依法给予处分或者处罚；构成犯罪的，依法追究刑事责任。</w:t>
      </w:r>
    </w:p>
    <w:p w14:paraId="65FAF0CF">
      <w:pPr>
        <w:rPr>
          <w:rFonts w:ascii="Times New Roman" w:hAnsi="Times New Roman" w:eastAsia="宋体" w:cs="宋体"/>
          <w:szCs w:val="32"/>
        </w:rPr>
      </w:pPr>
    </w:p>
    <w:p w14:paraId="5721ABD2">
      <w:pPr>
        <w:jc w:val="center"/>
        <w:rPr>
          <w:rFonts w:ascii="Times New Roman" w:hAnsi="Times New Roman" w:eastAsia="黑体" w:cs="黑体"/>
          <w:szCs w:val="32"/>
        </w:rPr>
      </w:pPr>
      <w:bookmarkStart w:id="41" w:name="第五章 附则"/>
      <w:bookmarkEnd w:id="41"/>
      <w:r>
        <w:rPr>
          <w:rFonts w:hint="eastAsia" w:ascii="Times New Roman" w:hAnsi="Times New Roman" w:eastAsia="黑体" w:cs="黑体"/>
          <w:szCs w:val="32"/>
        </w:rPr>
        <w:t>第五章　附　　则</w:t>
      </w:r>
    </w:p>
    <w:p w14:paraId="138DDA38">
      <w:pPr>
        <w:rPr>
          <w:rFonts w:ascii="Times New Roman" w:hAnsi="Times New Roman" w:eastAsia="宋体" w:cs="宋体"/>
          <w:szCs w:val="32"/>
        </w:rPr>
      </w:pPr>
    </w:p>
    <w:p w14:paraId="6F65BC82">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部分或者全部使用财政资金的团体组织采购货物、工程、服务支付中小企业款项，参照本条例对机关、事业单位的有关规定执行。</w:t>
      </w:r>
    </w:p>
    <w:p w14:paraId="12C66C54">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军队采购货物、工程、服务支付中小企业款项，按照军队的有关规定执行。</w:t>
      </w:r>
    </w:p>
    <w:p w14:paraId="7F27C9BD">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本条例自2025年6月1日起施行。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FE4EE7"/>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5093</Words>
  <Characters>5115</Characters>
  <Lines>87</Lines>
  <Paragraphs>24</Paragraphs>
  <TotalTime>3</TotalTime>
  <ScaleCrop>false</ScaleCrop>
  <LinksUpToDate>false</LinksUpToDate>
  <CharactersWithSpaces>5162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2025-04-07T03:02:41Z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AE1CE37A716342E5A18F6E1F4348C4D0_13</vt:lpwstr>
  </property>
  <property fmtid="{D5CDD505-2E9C-101B-9397-08002B2CF9AE}" pid="3" name="KSOProductBuildVer">
    <vt:lpwstr>2052-12.1.0.20305</vt:lpwstr>
  </property>
</Properties>
</file>