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内蒙古自治区饮用水水源保护条例"/>
      <w:bookmarkEnd w:id="0"/>
      <w:r>
        <w:rPr>
          <w:rFonts w:ascii="方正小标宋简体" w:eastAsia="方正小标宋简体" w:hAnsi="方正小标宋简体" w:cs="方正小标宋简体" w:hint="eastAsia"/>
          <w:color w:val="333333"/>
          <w:sz w:val="44"/>
          <w:szCs w:val="44"/>
          <w:shd w:val="clear" w:color="auto" w:fill="FFFFFF"/>
        </w:rPr>
        <w:t>内蒙古自治区饮用水水源保护条例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（2017年9月29日内蒙古自治区第十二届人民代表大会常务委员会第三十五次会议通过　根据2025年5月29日内蒙古自治区第十四届人民代表大会常务委员会第十七次会议《关于修改〈内蒙古自治区农作物种子条例〉等4件地方性法规的决定》修正）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饮用水水源保护，保障饮用水安全，维护公众身体健康，促进经济社会可持续发展，根据《中华人民共和国环境保护法》《中华人民共和国水法》《中华人民共和国水污染防治法》等国家有关法律、法规，结合自治区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自治区行政区域内饮用水水源保护和管理活动，适用本条例。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本条例所称饮用水水源，是指用于城乡集中式供水的江河、湖泊、水库、地下水井等地表水水源和地下水水源。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前款所称的集中式供水，是指以公共供水系统向城乡居民提供生活饮用水的供水方式。</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饮用水水源保护工作应当坚持中国共产党的领导，以铸牢中华民族共同体意识为工作主线，遵循预防为主、保护优先、综合治理、确保安全的原则。</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旗县级以上人民政府负责本行政区域的饮用水水源保护工作，将饮用水水源保护纳入国民经济和社会发展规划，合理调整饮用水水源保护地区的产业结构和布局，促进经济建设和饮用水水源保护协调发展。</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旗县级以上人民政府应当加大对饮用水水源保护的财政投入，保障饮用水水源水质安全工程建设、管理需要。</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自治区实行饮用水水源保护工作目标责任制和考核评价制度。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应当将饮用水水源保护工作目标完成情况，纳入对本级人民政府负有饮用水水源保护监督管理职责的部门及其负责人和下级人民政府及其负责人的年度考核内容，作为对其考核评价的重要依据。考核结果应当向社会公开。</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旗县级以上人民政府生态环境主管部门负责本行政区域内饮用水水源保护相关环境管理工作，对饮用水水源污染防治实施统一监督管理。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旗县级以上人民政府水行政主管部门负责本行政区域内饮用水水源规划、选址、水量配置和调度以及取水许可管理等工作，对饮用水水资源实施统一监督管理，指导饮用水水源保护工作。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旗县级以上人民政府发展改革、财政、住房和城乡建设、卫生健康、自然资源、农牧、林业和草原、交通运输、公安等有关部门，应当按照各自职责做好饮用水水源保护相关工作。</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苏木乡镇人民政府、街道办事处应当依法做好本辖区内的饮用水水源保护工作。嘎查村民委员会、居民委员会应当配合有关主管部门依法做好饮用水水源保护的相关工作。</w:t>
      </w:r>
    </w:p>
    <w:p>
      <w:pPr>
        <w:ind w:firstLine="640" w:firstLineChars="200"/>
        <w:rPr>
          <w:rFonts w:ascii="Times New Roman" w:hAnsi="Times New Roman" w:cs="仿宋_GB2312"/>
          <w:sz w:val="32"/>
          <w:szCs w:val="32"/>
        </w:rPr>
      </w:pPr>
      <w:bookmarkStart w:id="11" w:name="第九条"/>
      <w:bookmarkEnd w:id="11"/>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各级人民政府及其生态环境、水行政等部门应当组织开展饮用水水源保护的宣传教育。报刊、广播、电视、网络等媒体应当开展饮用水水源保护的宣传，对污染和破坏饮用水水源行为进行舆论监督。</w:t>
      </w:r>
    </w:p>
    <w:p>
      <w:pPr>
        <w:ind w:firstLine="640" w:firstLineChars="200"/>
        <w:rPr>
          <w:rFonts w:ascii="Times New Roman" w:hAnsi="Times New Roman" w:cs="仿宋_GB2312"/>
          <w:sz w:val="32"/>
          <w:szCs w:val="32"/>
        </w:rPr>
      </w:pPr>
      <w:bookmarkStart w:id="12" w:name="第十条"/>
      <w:bookmarkEnd w:id="12"/>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任何单位和个人都有义务保护饮用水水源，有权举报污染和破坏饮用水水源的行为。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饮用水水源保护区的划定"/>
      <w:bookmarkEnd w:id="13"/>
      <w:r>
        <w:rPr>
          <w:rFonts w:ascii="Times New Roman" w:eastAsia="黑体" w:hAnsi="Times New Roman" w:cs="黑体" w:hint="eastAsia"/>
          <w:szCs w:val="32"/>
        </w:rPr>
        <w:t>第二章　饮用水水源保护区的划定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自治区建立饮用水水源保护区制度。饮用水水源保护区分为一级保护区和二级保护区；必要时，可以在饮用水水源保护区外围划定一定区域作为准保护区。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饮用水水源保护区，是指为了保护集中供水的地表水水源和地下水水源安全而划定的予以特殊保护、防止污染和破坏的水域以及相关陆域。</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饮用水水源的确定应当与国土空间规划、水功能区划相衔接，符合国家和自治区有关水质标准等要求。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已有的饮用水水源不符合国家有关水质标准等要求，并且不能保障供水安全的，应当重新确定饮用水水源。</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盟市、旗县饮用水水源保护区的划定，由有关盟行政公署、设区的市人民政府、旗县级人民政府提出划定方案，报自治区人民政府批准。跨盟市、旗县的饮用水水源保护区的划定，由有关盟行政公署、设区的市人民政府、旗县级人民政府协商提出划定方案，报自治区人民政府批准；协商不成的，由自治区人民政府生态环境主管部门会同同级水行政、自然资源、住房和城乡建设、卫生健康等部门提出划定方案，征求同级有关部门的意见后，报自治区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苏木乡镇、嘎查村饮用水水源保护区的划定，由有关旗县级人民政府提出划定方案，报其所在地的盟行政公署、设区的市人民政府批准，并报自治区人民政府备案。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经批准的饮用水水源保护区由所在地旗县级人民政府向社会公告。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除饮用水水源功能发生变化、水质水量不能满足饮用水要求、饮用水水源安全受到威胁等原因外，不得调整饮用水水源保护区；确需调整的，按照饮用水水源保护区划定程序办理。</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因划定或者调整饮用水水源保护区，对饮用水水源保护区内的公民、法人或者其他组织的合法权益造成损害的，有关盟行政公署、设区的市人民政府、旗县级人民政府应当依法予以补偿。</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饮用水水源保护"/>
      <w:bookmarkEnd w:id="18"/>
      <w:r>
        <w:rPr>
          <w:rFonts w:ascii="Times New Roman" w:eastAsia="黑体" w:hAnsi="Times New Roman" w:cs="黑体" w:hint="eastAsia"/>
          <w:szCs w:val="32"/>
        </w:rPr>
        <w:t>第三章　饮用水水源保护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盟行政公署、设区的市级以上人民政府水行政主管部门应当制定饮用水水源建设规划；生态环境主管部门应当制定饮用水水源保护规划；供水行业主管部门负责制定供水规划和实施方案。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旗县级人民政府应当结合实际，组织水行政、生态环境、供水行业主管部门统筹制定本行政区域饮用水供水和水源保护规划。</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旗县级以上人民政府应当在饮用水水源保护区设立明确的地理界标，在显著位置设置警示标志。根据需要在一级保护区周边设置隔离防护设施，实行封闭式管理。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任何单位和个人不得擅自改变、破坏饮用水水源保护区地理界标、警示标志和隔离防护设施。</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在饮用水水源准保护区内，禁止下列行为：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（一）新建、扩建化工、生物发酵、电镀、皮革、冶炼、放射性、炼油、炼焦以及其他严重污染水体的建设项目，改建增加排污量的项目；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（二）进行可能严重影响饮用水水源水质和水量的矿产资源勘查、开采等活动；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（三）倾倒、堆放工业废渣、垃圾、粪便以及其他废弃物；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（四）破坏水源涵养林、护岸林以及水源保护相关植被的活动；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（五）法律、法规规定的其他可能污染饮用水水源的行为。</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在饮用水水源二级保护区内，除饮用水水源准保护区内禁止的行为外，还禁止下列行为：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（一）设置排污口；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（二）新建、改建、扩建排放污染物的建设项目或者其他设施；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（三）与饮用水供水无关的矿产资源勘查、开采活动；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（四）新建、扩建油库、加油站；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（五）建立火葬场、墓地；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（六）设置畜禽养殖场、养殖小区；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（七）利用未经净化处理达标的污水灌溉农田；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（八）超过标准使用化肥、含磷洗涤剂；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（九）掩埋、弃置动物尸体；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（十）法律、法规规定的其他可能污染饮用水水源的行为。</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在饮用水水源一级保护区内，除饮用水水源准保护区、二级保护区内禁止的行为外，还禁止下列行为：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（一）新建、改建、扩建与供水设施和保护水源无关的建设项目；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（二）从事网箱养殖、旅游、游泳、垂钓或者其他可能污染饮用水水体的行为。</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新建、改建、扩建公路、铁路、桥梁、输油输气管线等基础设施，不得穿越饮用水水源一级保护区。因工程条件和自然因素限制，确需穿越饮用水水源二级保护区或者准保护区的，应当对饮用水水源保护区环境影响进行专题评价，并纳入项目环境影响评价文件审批。</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在饮用水水源一级保护区内已建成的与供水设施和保护水源无关的建设项目，由旗县级以上人民政府责令拆除或者关闭。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在饮用水水源二级保护区内已建成的排放污染物的建设项目，由旗县级以上人民政府责令拆除或者关闭。</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自治区实行最严格水资源管理制度，健全取水用水总量控制指标体系。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旗县级以上人民政府水行政主管部门应当根据批准的水量分配方案，按照总量控制与定额管理的原则制定饮用水水源取水计划。</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饮用水取水应当统筹安排地表水和地下水，保障优质水优先用于城乡居民饮用。依法应当申请许可而未经批准的和公共供水管网覆盖范围内的自备水井，一律予以关闭。</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新建、改建、扩建饮用水水源工程应当符合水资源综合规划、水功能区划、供水专项规划，进行建设项目水资源论证，并依法办理取水许可审批手续。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饮用水水源保护工程应当与饮用水水源工程同时设计、同时施工、同时投入使用。</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旗县级以上人民政府应当根据保护饮用水水源的实际需要，在饮用水水源准保护区内实施水源涵养林、护岸林等生态保护措施，维护水体的自净能力。</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旗县级以上人民政府应当加强饮用水应急水源或者备用水源的建设与保护，发生水源污染等事件导致饮用水供应中断时，应当及时启用饮用水应急水源或者备用水源，保障城乡居民饮用水供应。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饮用水应急水源或者备用水源管理单位应当维护供水设施，发生突发事件时，保障饮用水应急水源或者备用水源正常启用。</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跨行政区域饮用水水源保护管理按照行政管辖原则分别由所在地人民政府负责。</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监督管理"/>
      <w:bookmarkEnd w:id="32"/>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旗县级以上人民政府应当建立饮用水水源保护补偿制度，落实饮用水水源保护补偿资金，确保其用于饮用水水源保护补偿。</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旗县级以上人民政府发展改革、生态环境、水行政、住房和城乡建设等有关部门应当优先安排饮用水水源保护区环境治理项目。</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旗县级以上人民政府应当组织协调生态环境、水行政等有关部门，整合饮用水水源水质监测资源，科学划分和确定监测范围、点位和项目，加强水质自动监测监控和预警能力建设，完善监测信息系统和共享机制。</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旗县级以上人民政府有关部门应当按照国家和自治区水质标准要求，至少每季度向社会公开一次本行政区域的饮用水安全状况信息。</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旗县级以上人民政府应当建立饮用水水源安全评估机制，开展饮用水水源安全保障建设。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旗县级以上人民政府生态环境、水行政主管部门应当按照各自职责定期开展对饮用水水源的水质、水量和饮用水水源保护情况的评估，并将评估结果报送本级人民政府。</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盟行政公署、设区的市和旗县级人民政府应当制定饮用水安全突发事件应急预案，有关部门按照各自职责和应急预案，制定相应的饮用水安全突发事件应急专项预案。</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饮用水供水单位应当根据所在地饮用水安全突发事件应急预案制定本单位具体实施方案，报所在地盟行政公署、设区的市和旗县级人民政府备案，并按照要求储备必需的应急物资，定期进行应急演练。</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饮用水水源发生水污染事故或者发生其他可能影响饮用水安全的突发性事件，饮用水供水单位应当立即采取应急措施，并向所在地盟行政公署、设区的市和旗县级人民政府报告，同时向社会公开；有关企业事业单位和其他生产经营者应当立即采取应急处置措施，并向所在地人民政府以及生态环境和饮用水供水主管部门及时通报；饮用水供水主管部门应当通知有关取水单位和当地居民，避免污染水体进入用户；有关人民政府应当根据情况及时启动应急预案，采取有效措施，保障供水安全。</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饮用水水源管理单位应当建立值班巡查制度，组织对饮用水水源保护区相关设施进行巡查，并做好巡查记录。对巡查中发现可能造成饮用水水源污染的行为应当及时制止，并向所在地旗县级人民政府生态环境主管部门报告。</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生态环境、水行政等有关部门应当公开举报途径，及时受理公民、法人和其他组织对破坏、污染饮用水水源行为的举报，并依法查处违法行为；对于不属于本部门职责范围的，应当及时移送有关部门依法查处。</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五章 法律责任"/>
      <w:bookmarkEnd w:id="43"/>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违反本条例规定的行为，《中华人民共和国环境保护法》《中华人民共和国水法》《中华人民共和国水污染防治法》等国家有关法律、法规已经作出具体处罚规定的，从其规定。</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生产经营者在饮用水水源保护区违法排放水污染物，受到罚款处罚，被责令改正的，依法作出处罚决定的行政机关应当组织复查，发现其继续违法排放水污染物或者拒绝、阻挠复查的，依照《中华人民共和国环境保护法》的规定按日连续处罚。</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在饮用水水源保护工作中玩忽职守、滥用职权、徇私舞弊的，对直接负责的主管人员和其他直接责任人员依法给予处分；构成犯罪的，依法追究刑事责任。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六章 附则"/>
      <w:bookmarkEnd w:id="47"/>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本条例自2018年1月1日起施行。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