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北京市征兵工作条例</w:t>
      </w:r>
    </w:p>
    <w:p>
      <w:pPr>
        <w:pStyle w:val="3"/>
        <w:jc w:val="both"/>
        <w:rPr>
          <w:rFonts w:hint="eastAsia"/>
        </w:rPr>
      </w:pPr>
    </w:p>
    <w:p>
      <w:pPr>
        <w:pStyle w:val="3"/>
        <w:ind w:firstLine="604"/>
        <w:jc w:val="both"/>
        <w:rPr>
          <w:rFonts w:hint="eastAsia"/>
        </w:rPr>
      </w:pPr>
      <w:r>
        <w:rPr>
          <w:rFonts w:hint="eastAsia"/>
        </w:rPr>
        <w:t>（2003年5月30日北京市第十二届人民代表大会常务</w:t>
      </w:r>
    </w:p>
    <w:p>
      <w:pPr>
        <w:pStyle w:val="3"/>
        <w:ind w:firstLine="604"/>
        <w:jc w:val="both"/>
        <w:rPr>
          <w:rFonts w:hint="eastAsia"/>
        </w:rPr>
      </w:pPr>
      <w:bookmarkStart w:id="0" w:name="_GoBack"/>
      <w:bookmarkEnd w:id="0"/>
      <w:r>
        <w:rPr>
          <w:rFonts w:hint="eastAsia"/>
        </w:rPr>
        <w:t>委员会第四次会议通过）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兵役登记</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体格检查</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政治审查</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审定、交接与退兵</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优待与安置</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第八章  附则</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为了加强国防建设，保障征兵工作顺利进行，根据《中华人民共和国兵役法》和《征兵工作条例》以及其他有关法律、法规的规定，结合本市实际情况，制定本条例。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本条例适用于具有本市常住户口的公民和本市行政区域内的机关、团体、企业事业单位以及其他组织。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保卫祖国、抵抗侵略是每个公民的神圣职责。依法服兵役是公民的光荣义务。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依法做好征兵工作，是加强部队建设、巩固国防的一项重要任务，是全社会的共同责任。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每年12月31日前年满18岁的男性公民，符合条件的，应当被征集服现役。当年未被征集的，在22岁前仍可以被征集服现役。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女性公民的征集，按照国家有关规定执行。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每年12月31</w:t>
      </w:r>
      <w:r>
        <w:rPr>
          <w:rFonts w:hint="eastAsia" w:ascii="仿宋_GB2312"/>
          <w:sz w:val="32"/>
          <w:szCs w:val="32"/>
          <w:lang w:eastAsia="zh-CN"/>
        </w:rPr>
        <w:t>日</w:t>
      </w:r>
      <w:r>
        <w:rPr>
          <w:rFonts w:hint="eastAsia" w:ascii="仿宋_GB2312" w:eastAsia="仿宋_GB2312"/>
          <w:sz w:val="32"/>
          <w:szCs w:val="32"/>
        </w:rPr>
        <w:t>前年满17岁未满18岁的男女公民，根据军队需要和本人自愿的原则，可以被征集服现役。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适龄公民是正在全日制学校就学的学生或者是维持家庭生活的唯一劳动力，可以缓征，但本人自愿的，可以被征集服现役。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本市征兵工作实行目标管理责任制。每年的征兵人数、范围、时间和要求，由市人民政府、中国人民解放军北京卫戍区根据国务院和中央军事委员会当年的征兵命令，下达给区、县人民政府。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本市征兵工作在上级军事机关和市人民政府的领导下，由市兵役机关组织实施。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市和区、县人民政府组织同级兵役机关、公安、卫生、教育、财政、民政等部门组成征兵办公室，负责办理本行政区域内的平时征兵准备、征兵实施、征兵宣传、从非军事部门直接招收志愿兵等项工作。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乡镇人民政府、街道办事处和机关、团体、企业事业单位以及其他组织，应当根据区、县人民政府的安排和要求，负责本地区、本单位的征兵工作。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工会、共青团、妇联等人民团体以及宣传、新闻单位，应当积极配合征兵办公室做好征兵工作。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征兵宣传工作应当纳入本市国防教育和法制宣传教育规划。各部门、各单位应当加强征兵的宣传工作，广泛开展爱国主义、革命英雄主义和依法服兵役的教育，做好应征公民的思想政治工作，鼓励他们为保卫社会主义祖国积极报名应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市和区、县人民政府征兵办公室开展征兵工作所需经费，应当列入同级财政年度预算。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机关、团体、企业事业单位以及其他组织所需征兵工作经费，由各单位自行解决。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对在征兵工作中做出显著成绩的单位和个人，由本市各级人民政府给予表彰和奖励。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兵役登记</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兵役登记工作在市人民政府征兵办公室的指导下，由区、县兵役机关组织实施。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区、县人民政府征兵办公室应当于当年兵役登记开始10</w:t>
      </w:r>
      <w:r>
        <w:rPr>
          <w:rFonts w:hint="eastAsia" w:ascii="仿宋_GB2312"/>
          <w:sz w:val="32"/>
          <w:szCs w:val="32"/>
          <w:lang w:eastAsia="zh-CN"/>
        </w:rPr>
        <w:t>日</w:t>
      </w:r>
      <w:r>
        <w:rPr>
          <w:rFonts w:hint="eastAsia" w:ascii="仿宋_GB2312" w:eastAsia="仿宋_GB2312"/>
          <w:sz w:val="32"/>
          <w:szCs w:val="32"/>
        </w:rPr>
        <w:t>前发出兵役登记公告。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乡镇人民政府、街道办事处和机关、团体、企业事业单位以及其他组织，应当根据区、县兵役机关的安排和要求，设立兵役登记站，并于兵役登记开始7日前将登记事项通知适龄男性公民。</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每年12月31日前年满18岁的男性公民，应当于当年9月30日前，按照区、县兵役机关的通知，持本人身份证、学历证明到兵役登记站进行兵役登记。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适龄男性公民因特殊情况不能到兵役登记站登记的，可以书面委托其亲属或者所在单位代为登记。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乡镇人民政府、街道办事处和机关、团体、企业事业单位以及其他组织应当根据区、县兵役机关的安排，组织本地区、本单位的适龄男性公民进行兵役登记；依法确定应当服兵役、免服兵役和不得服兵役的人员，并报区、县兵役机关批准；依法对经兵役登记和初步审查合格的应征公民进行体格目测、病史调查和政治、文化素质审查，择优选定当年预定征集的对象，并通知本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区、县兵役机关和基层单位应当加强对预定征集的应征公民的管理、教育和考察，了解掌握基本情况。预定征集的应征公民离开本市1个月以上的，应当向所在基层人民武装部报告去向和联系办法，并按照区、县人民政府征兵办公室的通知及时返回应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区、县人民政府征兵办公室对经过兵役登记的适龄公民，发放由市人民政府征兵办公室印制的《北京市公民兵役证》，并负责《北京市公民兵役证》的管理、核验工作。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《北京市公民兵役证》由适龄公民本人保管，遗失的应当及时向发证单位申请补发；经兵役登记的适龄公民变更户口所在地、住所地或者就业单位，应当及时到发证单位办理兵役登记变更手续。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《北京市公民兵役证》不得转借、涂改、伪造和变造。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本市有关部门或者单位在招录国家公务员、办理出境或者招生、招工时，应当查验本市适龄公民的《北京市公民兵役证》。</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体格检查</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应征公民体格检查工作，由区、县人民政府征兵办公室统一组织，同级卫生行政主管部门在二级以上医院设立体检站，抽调医务人员组成体检组具体实施。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市和区、县人民政府征兵办公室会同卫生行政主管部门对参加体格检查工作的医务人员进行培训。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负责体格检查工作的医务人员，应当按照征兵体格检查标准和有关规定对应征公民进行体格检查。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乡镇人民政府、街道办事处和机关、团体、企业事业单位应当根据区、县人民政府下达的征集任务和要求，组织当年预定征集的应征公民参加体格检查。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应征公民应当按照区、县人民政府征兵办公室的要求参加体格检查，并如实反映健康状况。</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应征公民参加体格检查的，应当视为出勤。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应征公民的体格检查采取基层初检、区县体检、市抽查的方法进行。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对应征公民的抽查人数一般不得少于征兵人数的l／3。经抽查，合格率低于95％的，应当对体格检查合格人员全部进行复查。</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政治审查</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应征公民的政治审查工作，由区、县人民政府征兵办公室统一组织，公安部门按照政治审查有关规定具体实施。有关单位和个人应当协助配合，如实提供情况。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市和区、县人民政府征兵办公室会同公安部门对参加政治审查工作的人员进行业务培训。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参加政治审查工作的人员，应当按照征兵政治审查工作的有关规定，对应征公民的有关政治状况等进行审查，重点查清其现实表现。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应征公民的政治审查工作实行村（居）民委员会、职工所在单位初审，乡镇人民政府、街道办事处和公安派出所复审，区、县人民政府征兵办公室终审的三级审查和相关地区、单位联合交叉审查制度。</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审定、交接与退兵</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区、县人民政府征兵办公室应当对体格检查、政治审查合格的应征公民进行全面衡量，在听取乡镇人民政府、街道办事处和有关单位意见的基础上，召集接兵部队负责人审定兵员，择优批准服现役，并将被批准服现役的人员名单予以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区、县人民政府征兵办公室应当对被批准服现役的公民办理入伍手续，发给《应征公民入伍通知书》，通知其常住户口所在地的户口登记机关，并统一编制《新兵花名册》，报市人民政府征兵办公室备案。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有关单位应当按照区、县人民政府征兵办公室的要求，移交被批准服现役公民的档案材料。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交接新兵，由区、县人民政府征兵办公室派人送兵、新兵自行到部队报到或者部队派人接兵。</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区、县人民政府征兵办公室应当在规定时间、地点办理新兵交接手续。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新兵到达部队后，按照规定进行检疫和复查，因不符合条件被部队作退兵处理的，由市人民政府征兵办公室按照有关规定办理退兵手续。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区、县人民政府征兵办公室不得擅自接收或者调换被部队退回的新兵。</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对部队按规定退回的新兵，市人民政府征兵办公室应当通知原征集的区、县人民政府征兵办公室领回，注销其入伍手续，当地公安部门应当予以落户；原是机关、团体、企业事业单位职工的，原单位应当准予复职、复工；原是高等学校学生的，原学校应当准予复学。</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优待与安置</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义务兵及其家属应当受到社会的尊重，享受国家和本市规定的优待。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本市鼓励机关、团体、企业事业单位以及其他组织和个人开展拥军优属活动。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义务兵服现役期间，其家属应当享受优待金。优待金的支出纳入财政预算。优待金的标准不低于当地平均生活水平，具体标准和发放办法由市人民政府规定。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义务兵原所在单位上年度人均收入高于优待金标准的，原所在单位应当给予适当补贴。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义务兵到国家确定的自然条件恶劣地区服现役的，其家属享受的优待金应当适当增加；对在服现役期间荣立三等功以上的义务兵，由区、县人民政府给予一次性奖励。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义务兵家属享受优待金后，生活仍确有困难的，区、县人民政府应当给予补助。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义务兵原租赁公房的租赁和使用权应当予以保留；住房被拆迁或者其所在地土地被征用的，应当按照有关规定给予补偿安置。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入伍前是在职职工的义务兵，由原单位发给离职当月的全部工资、奖金及各种补贴。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入伍前是农业户口的义务兵，服现役期间其家庭承包的土地、山林等应当予以保留。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义务兵退出现役后，本市各级人民政府和有关单位应当按照国家和本市有关规定妥善安置，不得拒绝接收。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对在自然条件恶劣地区服现役和在服现役期间荣立二等功以上的义务兵，其退伍安置工作，应当按照从优的原则，在就业、农转非等方面给予优惠和照顾。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入伍前是在职职工的义务兵退出现役后，原单位应当安排工作。原单位撤销、倒闭不能安排工作的，由上一级主管单位安置；没有主管单位的，由本市各级人民政府按规定负责安置。义务兵退出现役，予以安置后的工资、社会保险、福利待遇等按照本单位同工种、同岗位、同工龄职工情况确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非农业户口义务兵退出现役后自谋职业的，区、县人民政府应当给予一次性经济补助，并给予其他政策优惠。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入伍前是非农业户口的义务兵退出现役后，在待安置期间，由区、县人民政府每月按照不低于当地最低生活水平的原则发给生活补助费。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入伍前是农业户口的义务兵退出现役后，由乡镇人民政府妥善安排他们的生产和生活。机关、团体、企业事业单位在农村招收员工时，在同等条件下，应当优先录用退伍军人。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义务兵退出现役后，报考国家公务员、高等学校和中等专业学校的，应当予以优待。</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义务兵入伍前是全日制高等学校的大学生，原就读学校应当保留其学籍，退伍后准予其复学，并在学费、升学等方面享受国家和本市的优惠政策。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应征公民经征兵体检、政审合格后，因名额限制未被征集入伍的，一年内各单位在招录国家公务员、招生等时，同等条件下应当优先招用、录取。</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有服兵役义务的公民违反本条例有下列行为之一的，由区、县人民政府责令限期改正；逾期不改的，由区、县人民政府强制其履行兵役义务，并可以处年优待金标准1至3倍罚款：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（一）拒绝、逃避兵役登记和体格检查的；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（二）应征公民拒绝、逃避征集的。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有前款第（二）项行为，拒不改正的，在两年内不得被录取为国家公务员、国有企业职工，不得出国或者升学。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战时有第一款第（二）项行为，构成犯罪的，依法追究刑事责任。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第十五条第三款规定，转借、涂改、伪造和变造《北京市公民兵役证》逃避兵役登记的，由区、县人民政府责令改正，并可以处年优待金标准l至3倍罚款。涂改、伪造和变造的《北京市公民兵役证》予以没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机关、团体、企业事业单位及其他组织违反本条例有下列行为之一的，由区、县人民政府责令改正，并可以处年优待金标准5倍以上10倍以下罚款；对单位直接负责的主管人员和其他直接责任人员，处2000元以上5000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（一）拒绝完成征兵任务的；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（二）不按规定组织适龄公民进行兵役登记的；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（三）阻挠适龄公民参加兵役登记、体格检查或者应征入伍的；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（四）隐瞒适龄公民人数、弄虚作假或者采用其他手段庇护应征公民逃避服兵役的；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（五）录用或者录取本条例第三十九条第二款规定的应征公民就业、就学的；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（六）拒绝接收、安置退出现役军人的。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对没有完成征兵任务的区、县人民政府，由市人民政府给予通报批评，并对区、县人民政府的行政负责人给予行政处分；对没有完成征兵任务的乡镇人民政府、街道办事处，由区、县人民政府给予批评，并对行政负责人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 xml:space="preserve"> 对有扰乱征兵工作秩序，或者阻碍征兵工作人员依法执行职务行为，尚不构成犯罪的，由公安机关依照治安管理的有关规定给予处罚。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国家工作人员在征兵工作中收受贿赂、徇私舞弊、玩忽职守的，由其所在单位或者上级主管部门给予行政处分；构成犯罪的，依法追究刑事责任。</w:t>
      </w:r>
    </w:p>
    <w:p>
      <w:pPr>
        <w:spacing w:line="240" w:lineRule="atLeast"/>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附则</w:t>
      </w:r>
    </w:p>
    <w:p>
      <w:pPr>
        <w:spacing w:line="240" w:lineRule="atLeast"/>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本条例自2003年7月1日起施行。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1993年6月17日北京市第十届人民代表大会常务委员会第三次会议通过的《北京市征兵工作若干规定》，1993年9月23日北京市人民政府第14号令发布的《北京市兵役登记工作规定》和1993年9月23日北京市人民政府第15号令发布的《北京市征兵工作目标管理责任制规定》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EE6BFA"/>
    <w:rsid w:val="06253ADF"/>
    <w:rsid w:val="09004ABF"/>
    <w:rsid w:val="0A5D4680"/>
    <w:rsid w:val="0A821A57"/>
    <w:rsid w:val="0BDF4439"/>
    <w:rsid w:val="0C145004"/>
    <w:rsid w:val="0CFF345B"/>
    <w:rsid w:val="0D257418"/>
    <w:rsid w:val="0D82795C"/>
    <w:rsid w:val="0D867282"/>
    <w:rsid w:val="101F124D"/>
    <w:rsid w:val="106E3AB7"/>
    <w:rsid w:val="108D1068"/>
    <w:rsid w:val="112B13FD"/>
    <w:rsid w:val="11B4379B"/>
    <w:rsid w:val="13397E51"/>
    <w:rsid w:val="13F8794D"/>
    <w:rsid w:val="144F1D9C"/>
    <w:rsid w:val="15B82B24"/>
    <w:rsid w:val="15F23C94"/>
    <w:rsid w:val="16DE00B2"/>
    <w:rsid w:val="17635DC9"/>
    <w:rsid w:val="177D7DA2"/>
    <w:rsid w:val="18386436"/>
    <w:rsid w:val="18904C3D"/>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70A12F5"/>
    <w:rsid w:val="27410C47"/>
    <w:rsid w:val="27F10122"/>
    <w:rsid w:val="29C83067"/>
    <w:rsid w:val="2A806077"/>
    <w:rsid w:val="2A82488F"/>
    <w:rsid w:val="2B3F4E2A"/>
    <w:rsid w:val="2B9E67E0"/>
    <w:rsid w:val="2C110708"/>
    <w:rsid w:val="2C11075A"/>
    <w:rsid w:val="2D1A35D0"/>
    <w:rsid w:val="2E9E1B0C"/>
    <w:rsid w:val="2F715896"/>
    <w:rsid w:val="314732A6"/>
    <w:rsid w:val="33504AF8"/>
    <w:rsid w:val="34BF3A5A"/>
    <w:rsid w:val="35534596"/>
    <w:rsid w:val="385A53BE"/>
    <w:rsid w:val="38C3457A"/>
    <w:rsid w:val="39252687"/>
    <w:rsid w:val="3AF15E85"/>
    <w:rsid w:val="3B474008"/>
    <w:rsid w:val="3C2018E3"/>
    <w:rsid w:val="3C6A0C85"/>
    <w:rsid w:val="3F6D3302"/>
    <w:rsid w:val="40C37EA8"/>
    <w:rsid w:val="41473874"/>
    <w:rsid w:val="42414CB7"/>
    <w:rsid w:val="43304069"/>
    <w:rsid w:val="440D63D8"/>
    <w:rsid w:val="441740A5"/>
    <w:rsid w:val="44867985"/>
    <w:rsid w:val="44F125DC"/>
    <w:rsid w:val="454870DF"/>
    <w:rsid w:val="461A5E42"/>
    <w:rsid w:val="46455C22"/>
    <w:rsid w:val="4673613C"/>
    <w:rsid w:val="469B6042"/>
    <w:rsid w:val="46B732FD"/>
    <w:rsid w:val="4704582B"/>
    <w:rsid w:val="4767280A"/>
    <w:rsid w:val="478C0A39"/>
    <w:rsid w:val="479412B6"/>
    <w:rsid w:val="479E6A80"/>
    <w:rsid w:val="49241582"/>
    <w:rsid w:val="4C675B46"/>
    <w:rsid w:val="4D3465CF"/>
    <w:rsid w:val="4F782B4A"/>
    <w:rsid w:val="50EB3631"/>
    <w:rsid w:val="51FF507F"/>
    <w:rsid w:val="533709F6"/>
    <w:rsid w:val="549934CF"/>
    <w:rsid w:val="54E301B5"/>
    <w:rsid w:val="55437190"/>
    <w:rsid w:val="57E05A5D"/>
    <w:rsid w:val="580A3E11"/>
    <w:rsid w:val="58F31A1F"/>
    <w:rsid w:val="58F32E59"/>
    <w:rsid w:val="59BE2E66"/>
    <w:rsid w:val="59D4651F"/>
    <w:rsid w:val="5A774527"/>
    <w:rsid w:val="5AD10A32"/>
    <w:rsid w:val="5B763843"/>
    <w:rsid w:val="5BBD3512"/>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97550"/>
    <w:rsid w:val="65552F9A"/>
    <w:rsid w:val="659E31AC"/>
    <w:rsid w:val="65CC7F16"/>
    <w:rsid w:val="662B588C"/>
    <w:rsid w:val="66EB1C11"/>
    <w:rsid w:val="679735EA"/>
    <w:rsid w:val="68A92027"/>
    <w:rsid w:val="6943734A"/>
    <w:rsid w:val="694D769F"/>
    <w:rsid w:val="69692909"/>
    <w:rsid w:val="697D5882"/>
    <w:rsid w:val="69D80241"/>
    <w:rsid w:val="6A261B49"/>
    <w:rsid w:val="6ACD1007"/>
    <w:rsid w:val="6C491236"/>
    <w:rsid w:val="6CA24C19"/>
    <w:rsid w:val="6D8C7C62"/>
    <w:rsid w:val="6EBB0ABB"/>
    <w:rsid w:val="6F8922CF"/>
    <w:rsid w:val="72DD5ADE"/>
    <w:rsid w:val="734E5F1E"/>
    <w:rsid w:val="74880368"/>
    <w:rsid w:val="74D258C0"/>
    <w:rsid w:val="74EE424C"/>
    <w:rsid w:val="75106EA0"/>
    <w:rsid w:val="75735EA3"/>
    <w:rsid w:val="778C4F74"/>
    <w:rsid w:val="77BB267F"/>
    <w:rsid w:val="793C12CE"/>
    <w:rsid w:val="79F865D9"/>
    <w:rsid w:val="7A354310"/>
    <w:rsid w:val="7A673472"/>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