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97" w:rsidRPr="004A4597" w:rsidRDefault="004A4597" w:rsidP="00324C29">
      <w:pPr>
        <w:widowControl w:val="0"/>
        <w:overflowPunct w:val="0"/>
        <w:spacing w:after="0" w:line="580" w:lineRule="exact"/>
        <w:jc w:val="both"/>
        <w:rPr>
          <w:rFonts w:ascii="Times New Roman" w:eastAsia="方正小标宋简体" w:hAnsi="Times New Roman" w:cs="Times New Roman"/>
          <w:color w:val="000000"/>
          <w:kern w:val="2"/>
          <w:sz w:val="32"/>
          <w:szCs w:val="32"/>
        </w:rPr>
      </w:pPr>
    </w:p>
    <w:p w:rsidR="00903572" w:rsidRPr="003B66E7" w:rsidRDefault="00903572" w:rsidP="001C35B8">
      <w:pPr>
        <w:widowControl w:val="0"/>
        <w:overflowPunct w:val="0"/>
        <w:spacing w:after="0" w:line="580" w:lineRule="exact"/>
        <w:jc w:val="center"/>
        <w:rPr>
          <w:rFonts w:ascii="宋体" w:eastAsia="宋体" w:hAnsi="宋体" w:cs="Times New Roman"/>
          <w:color w:val="000000" w:themeColor="text1"/>
          <w:kern w:val="36"/>
          <w:sz w:val="44"/>
          <w:szCs w:val="44"/>
        </w:rPr>
      </w:pPr>
      <w:r w:rsidRPr="003B66E7">
        <w:rPr>
          <w:rFonts w:ascii="宋体" w:eastAsia="宋体" w:hAnsi="宋体" w:cs="Times New Roman"/>
          <w:color w:val="000000" w:themeColor="text1"/>
          <w:kern w:val="36"/>
          <w:sz w:val="44"/>
          <w:szCs w:val="44"/>
        </w:rPr>
        <w:t>北京市殡葬管理条例</w:t>
      </w:r>
    </w:p>
    <w:p w:rsidR="003B66E7" w:rsidRDefault="003B66E7" w:rsidP="003B66E7">
      <w:pPr>
        <w:widowControl w:val="0"/>
        <w:overflowPunct w:val="0"/>
        <w:spacing w:after="0" w:line="580" w:lineRule="exact"/>
        <w:ind w:rightChars="200" w:right="440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</w:p>
    <w:p w:rsidR="003B66E7" w:rsidRDefault="00903572" w:rsidP="003B66E7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（1996年7月11日北京市第十届人民代表大会常务委</w:t>
      </w:r>
    </w:p>
    <w:p w:rsidR="003B66E7" w:rsidRDefault="00903572" w:rsidP="003B66E7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员会第二十八次会议通过</w:t>
      </w:r>
      <w:r w:rsidR="001C35B8" w:rsidRPr="003B66E7">
        <w:rPr>
          <w:rFonts w:ascii="楷体_GB2312" w:eastAsia="楷体_GB2312" w:hAnsi="楷体_GB2312" w:cs="Times New Roman" w:hint="eastAsia"/>
          <w:spacing w:val="-6"/>
          <w:kern w:val="2"/>
          <w:sz w:val="32"/>
          <w:szCs w:val="32"/>
          <w:lang w:bidi="he-IL"/>
        </w:rPr>
        <w:t xml:space="preserve">　</w:t>
      </w: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根据2001年8月3日北京市</w:t>
      </w:r>
    </w:p>
    <w:p w:rsidR="003B66E7" w:rsidRDefault="00903572" w:rsidP="003B66E7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第十一届人民代表大会常务委员会</w:t>
      </w:r>
      <w:r w:rsidR="0047189C"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第二十八次会议通过</w:t>
      </w:r>
    </w:p>
    <w:p w:rsidR="003B66E7" w:rsidRDefault="0047189C" w:rsidP="003B66E7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的《关于修改〈北京市殡葬管理暂行条例〉的决定》修</w:t>
      </w:r>
    </w:p>
    <w:p w:rsidR="003B66E7" w:rsidRDefault="0047189C" w:rsidP="003B66E7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正</w:t>
      </w:r>
      <w:r w:rsidR="001C35B8" w:rsidRPr="003B66E7">
        <w:rPr>
          <w:rFonts w:ascii="楷体_GB2312" w:eastAsia="楷体_GB2312" w:hAnsi="楷体_GB2312" w:cs="Times New Roman" w:hint="eastAsia"/>
          <w:spacing w:val="-6"/>
          <w:kern w:val="2"/>
          <w:sz w:val="32"/>
          <w:szCs w:val="32"/>
          <w:lang w:bidi="he-IL"/>
        </w:rPr>
        <w:t xml:space="preserve">　</w:t>
      </w: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根据2016年11月25日北京市第十四届人民代表大</w:t>
      </w:r>
    </w:p>
    <w:p w:rsidR="003B66E7" w:rsidRDefault="0047189C" w:rsidP="003B66E7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会常务委员会第三十一次会议通过的《关于修改部分地</w:t>
      </w:r>
    </w:p>
    <w:p w:rsidR="00903572" w:rsidRPr="003B66E7" w:rsidRDefault="0047189C" w:rsidP="003B66E7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bookmarkStart w:id="0" w:name="_GoBack"/>
      <w:bookmarkEnd w:id="0"/>
      <w:r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方性法规的决定》修正</w:t>
      </w:r>
      <w:r w:rsidR="00631145" w:rsidRPr="003B66E7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）</w:t>
      </w:r>
    </w:p>
    <w:p w:rsidR="0047189C" w:rsidRPr="003B66E7" w:rsidRDefault="0047189C" w:rsidP="00324C29">
      <w:pPr>
        <w:widowControl w:val="0"/>
        <w:overflowPunct w:val="0"/>
        <w:spacing w:after="0" w:line="580" w:lineRule="exact"/>
        <w:ind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kern w:val="2"/>
          <w:sz w:val="32"/>
          <w:szCs w:val="32"/>
        </w:rPr>
        <w:t>目</w:t>
      </w:r>
      <w:r w:rsidR="00164E65"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　　　</w:t>
      </w:r>
      <w:r w:rsidRPr="004A4597">
        <w:rPr>
          <w:rFonts w:ascii="Times New Roman" w:eastAsia="黑体" w:hAnsi="Times New Roman" w:cs="Times New Roman"/>
          <w:bCs/>
          <w:kern w:val="2"/>
          <w:sz w:val="32"/>
          <w:szCs w:val="32"/>
        </w:rPr>
        <w:t>录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jc w:val="both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</w:p>
    <w:p w:rsidR="00903572" w:rsidRPr="004A4597" w:rsidRDefault="00903572" w:rsidP="004A4597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第一章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总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则</w:t>
      </w:r>
    </w:p>
    <w:p w:rsidR="00903572" w:rsidRPr="004A4597" w:rsidRDefault="00903572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第二章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丧葬管理</w:t>
      </w:r>
    </w:p>
    <w:p w:rsidR="00903572" w:rsidRPr="004A4597" w:rsidRDefault="00903572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第三章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殡仪活动管理</w:t>
      </w:r>
    </w:p>
    <w:p w:rsidR="00903572" w:rsidRPr="004A4597" w:rsidRDefault="00903572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第四章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骨灰安置与公墓管理</w:t>
      </w:r>
    </w:p>
    <w:p w:rsidR="00903572" w:rsidRPr="004A4597" w:rsidRDefault="00903572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第五章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丧葬用品管理</w:t>
      </w:r>
    </w:p>
    <w:p w:rsidR="00903572" w:rsidRPr="004A4597" w:rsidRDefault="00903572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第六章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法律责任</w:t>
      </w:r>
    </w:p>
    <w:p w:rsidR="00903572" w:rsidRPr="004A4597" w:rsidRDefault="00903572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第七章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附</w:t>
      </w:r>
      <w:r w:rsidR="00164E65">
        <w:rPr>
          <w:rFonts w:ascii="Times New Roman" w:eastAsia="楷体_GB2312" w:hAnsi="Times New Roman" w:cs="Times New Roman" w:hint="eastAsia"/>
          <w:bCs/>
          <w:color w:val="000000"/>
          <w:kern w:val="2"/>
          <w:sz w:val="32"/>
          <w:szCs w:val="32"/>
        </w:rPr>
        <w:t xml:space="preserve">　　</w:t>
      </w:r>
      <w:r w:rsidRPr="004A4597"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  <w:t>则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楷体_GB2312" w:hAnsi="Times New Roman" w:cs="Times New Roman"/>
          <w:bCs/>
          <w:color w:val="000000"/>
          <w:kern w:val="2"/>
          <w:sz w:val="32"/>
          <w:szCs w:val="32"/>
        </w:rPr>
      </w:pPr>
    </w:p>
    <w:p w:rsidR="00164E65" w:rsidRDefault="00164E65">
      <w:pPr>
        <w:adjustRightInd/>
        <w:snapToGrid/>
        <w:spacing w:line="220" w:lineRule="atLeast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/>
          <w:bCs/>
          <w:kern w:val="2"/>
          <w:sz w:val="32"/>
          <w:szCs w:val="32"/>
        </w:rPr>
        <w:br w:type="page"/>
      </w:r>
    </w:p>
    <w:p w:rsidR="00903572" w:rsidRP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lastRenderedPageBreak/>
        <w:t xml:space="preserve">第一章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总</w:t>
      </w: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　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则</w:t>
      </w:r>
    </w:p>
    <w:p w:rsidR="0047189C" w:rsidRPr="004A4597" w:rsidRDefault="0047189C" w:rsidP="00324C29">
      <w:pPr>
        <w:pStyle w:val="a5"/>
        <w:widowControl w:val="0"/>
        <w:overflowPunct w:val="0"/>
        <w:spacing w:after="0" w:line="580" w:lineRule="exact"/>
        <w:ind w:firstLineChars="0" w:firstLine="0"/>
        <w:jc w:val="both"/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第一条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为了加强殡葬管理，深化殡葬改革，保护土地资源和节约用地，促进首都社会主义精神文明建设，根据国家有关法律、法规，结合本市实际情况，制定本条例。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本市各级人民政府应当加强对殡葬工作的领导，把殡葬工作列入国民经济和社会发展计划。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市民政局是本市殡葬管理的主管机关，负责本条例的组织实施。各区民政局负责本区的殡葬管理工作。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公安、工商行政、规划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国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土、卫生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计生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、环境保护等部门应当按照各自的职责，做好有关殡葬管理工作。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第四条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本市对殡葬行业实行统一管理。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本市殡葬管理工作坚持实行火葬，改革土葬，节约殡葬用地，提倡节俭、文明办丧事的方针。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jc w:val="both"/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</w:pPr>
    </w:p>
    <w:p w:rsidR="00903572" w:rsidRP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第二章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丧葬管理</w:t>
      </w:r>
    </w:p>
    <w:p w:rsidR="0047189C" w:rsidRPr="004A4597" w:rsidRDefault="0047189C" w:rsidP="00324C29">
      <w:pPr>
        <w:pStyle w:val="a5"/>
        <w:widowControl w:val="0"/>
        <w:overflowPunct w:val="0"/>
        <w:spacing w:after="0" w:line="580" w:lineRule="exact"/>
        <w:ind w:firstLineChars="0" w:firstLine="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第五条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本市行政区域内，除市人民政府批准的边远山区为土葬改革区以外，其他地区均为实行火葬的地区。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第六条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殡仪馆、火葬场、骨灰堂、殡仪服务站等殡葬设施的规划、建设，依照国家有关规定执行。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第七条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火葬地区内死者的遗体，一律实行火化。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lastRenderedPageBreak/>
        <w:t>土葬改革区内死者的遗体应当在当地人民政府指定的区域内深葬。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第八条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尊重少数民族的丧葬习俗。实行土葬的，应当在指定地点埋葬。对自愿实行丧葬改革的，他人不得干涉。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第九条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正常死亡者的遗体，凭医疗卫生机构出具的医学死亡证明火化。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非正常死亡者的遗体和无名尸体，凭公安部门出具的死亡证明火化。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火葬地区内死者的遗体应当在本市内火葬场火化，禁止运往外地。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外地来京人员在本市死亡后因特殊原因确需运回原籍的，必须经遗体所在区的民政部门批准；未经批准，遗体存放单位不得放行。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第十一条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火葬地区内遗体的运送业务必须由殡仪馆承办。禁止其他单位和个人经营遗体运送业务。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殡仪服务人员应当按照死者单位或者其家属预定的时间、地点接运遗体。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第三章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殡仪活动管理</w:t>
      </w:r>
    </w:p>
    <w:p w:rsidR="0047189C" w:rsidRPr="004A4597" w:rsidRDefault="0047189C" w:rsidP="00324C29">
      <w:pPr>
        <w:pStyle w:val="a5"/>
        <w:widowControl w:val="0"/>
        <w:overflowPunct w:val="0"/>
        <w:spacing w:after="0" w:line="580" w:lineRule="exact"/>
        <w:ind w:firstLineChars="0" w:firstLine="0"/>
        <w:jc w:val="both"/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第十二条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禁止在殡仪活动中妨害公共秩序、危害公共安全、侵害他人合法权益。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lastRenderedPageBreak/>
        <w:t>禁止在殡仪活动中沿途抛撒纸钱。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第十三条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开展殡仪服务业务，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应当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经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区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民政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部门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批准。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第十四条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殡仪服务人员应当遵守职业道德，实行规范、文明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服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务，不得利用工作之便牟取私利、索要或者收受财物，不得刁难死者家属。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第十五条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殡仪服务收费应当执行国家和本市的有关规定。</w:t>
      </w:r>
    </w:p>
    <w:p w:rsid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第四章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骨灰安置与公墓管理</w:t>
      </w:r>
    </w:p>
    <w:p w:rsidR="0047189C" w:rsidRPr="004A4597" w:rsidRDefault="0047189C" w:rsidP="00324C29">
      <w:pPr>
        <w:pStyle w:val="a5"/>
        <w:widowControl w:val="0"/>
        <w:overflowPunct w:val="0"/>
        <w:spacing w:after="0" w:line="580" w:lineRule="exact"/>
        <w:ind w:firstLineChars="0" w:firstLine="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第十六条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倡导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以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深埋、播撒、存放等不占或者少占土地的方式安置骨灰；禁止将骨灰装棺埋葬。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第十七条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为公民提供骨灰安置的设施，由市民政局根据实际需要统一规划、设置。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农村地区可以根据需要建立为本乡、镇村民服务的公益性骨灰堂。区民政局应当对公益性骨灰堂的管理进行业务指导。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第十八条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本市严格控制公墓的建立。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远郊乡、镇、村建立为本地村民提供骨灰安葬的公益性公墓，应当报区民政局批准；市和区殡葬事业单位建立实行有偿服务的公墓，应当报市民政局批准。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建立公墓必须依照法律、法规的规定到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规划国土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部门办理用地审批手续。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第十九条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建立公墓应当利用荒山瘠地，不得占用耕地。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lastRenderedPageBreak/>
        <w:t>禁止在文物保护区、水源保护区、自然保护区、风景名胜区和河湖（含水库）、铁路、公路隔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离带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内，以及城市规划的特殊地区建立公墓。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禁止在公墓以外修墓立碑。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在公墓中安葬单人或者双人骨灰的墓穴，占地面积不得超过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平方米；安葬多人骨灰的墓穴，占地面积不得超过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3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平方米。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墓穴和骨灰格位的一个使用周期最长为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20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年，期满后可以续租。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第二十一条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公益性公墓的管理者不得利用公益性公墓从事经营活动。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第二十二条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公墓应当凭火化证明或者其他合法证明出租墓穴和骨灰格位；禁止出租寿穴。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承租人不得转让墓穴和骨灰格位。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禁止利用墓穴和骨灰格位进行炒买炒卖等非法经营活动。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第五章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丧葬用品管理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三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禁止任何单位或者个人制造、销售冥票和纸人、纸马等封建迷信殡葬用品。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禁止在火葬地区内生产、经营棺木。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四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经营丧葬用品应当明码标价，由市和区民政局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lastRenderedPageBreak/>
        <w:t>会同物价、工商行政管理部门予以监督。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第六章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法律责任</w:t>
      </w:r>
    </w:p>
    <w:p w:rsidR="0047189C" w:rsidRPr="004A4597" w:rsidRDefault="0047189C" w:rsidP="00324C29">
      <w:pPr>
        <w:pStyle w:val="a5"/>
        <w:widowControl w:val="0"/>
        <w:overflowPunct w:val="0"/>
        <w:spacing w:after="0" w:line="580" w:lineRule="exact"/>
        <w:ind w:firstLineChars="0" w:firstLine="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五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违反本条例第六条、第十八条的规定，擅自兴建殡仪馆、火葬场、骨灰堂、殡仪服务站和公墓的，由民政部门会同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规划国土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部门予以取缔，责令恢复原状，没收违法所得，可以并处违法所得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3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六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违反本条例第七条第一款、第十九条第三款的规定，火葬地区内死者的遗体不实行火化，或者在公墓以外修墓立碑的，由民政部门责令限期改正；拒不改正的，可以强制执行。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七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违反本条例第十条第二款的规定，擅自放行未获外运批准的遗体的，由民政部门对擅自放行的遗体存放单位处以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500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3000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第二十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八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违反本条例第十二条第一款的规定，在殡仪活动中有妨害公共秩序、危害公共安全、侵害他人合法权益行为的，民政部门应当予以制止；违反治安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管理的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，由公安机关依照《中华人民共和国治安管理处罚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法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》给予处罚；构成犯罪的，依法追究刑事责任。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二十九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违反本条例第十三条的规定，未经批准开展殡仪服务业务的，由民政部门责令限期改正，没收违法所得，并处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lastRenderedPageBreak/>
        <w:t>以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1000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5000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十四条的规定，殡仪服务人员不按规定履行服务职责以及利用工作之便牟取私利、索要或者收受财物，刁难死者家属的，由所在单位或者其上级主管部门责令改正，退还索要、收受的财物，根据情节给予行政处分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一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违反本条例第二十条第一款的规定，墓穴占地面积超过规定标准的，由民政部门责令限期改正，没收违法所得，可以并处违法所得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3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二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违反本条例第二十一条的规定，利用公益性公墓从事经营活动的，由民政部门没收违法所得；情节严重的，处以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5000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万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三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二十二条的规定，出租寿穴或者炒买炒卖墓穴和骨灰格位的，由民政部门会同工商行政管理部门责令停止违法活动，限期改正；逾期拒不改正的，由工商行政管理部门没收违法所得，可以并处违法所得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3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四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违反本条例第二十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三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条第一款的规定，制造、销售封建迷信殡葬用品的，由民政部门会同工商行政管理部门予以没收，可以并处制造、销售金额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3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倍以下的罚款。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五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违反本条例第二十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三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条第二款的规定，在火葬区内生产、经营棺木的，由民政部门责令停止生产、经营，没收棺木以及违法所得，并处以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500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元以上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1000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元以下的罚款。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lastRenderedPageBreak/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六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违反本条例，属于违反工商行政、物价、规划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国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土、卫生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计生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、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城市管理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、环境保护等方面法律、法规和规章的，由有关主管部门依法处理。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七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当事人对行政处罚决定不服的，可以依法申请复议或者向人民法院提起诉讼。当事人逾期不申请复议，也不提起诉讼，又不履行处罚决定的，由作出处罚决定的机关申请人民法院强制执行。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第三十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八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对拒绝、阻碍殡葬管理工作人员依法执行职务或者侮辱、殴打管理工作人员的，由公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安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机关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依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照《中华人民共和国治安管理处罚</w:t>
      </w:r>
      <w:r w:rsidRPr="004A4597">
        <w:rPr>
          <w:rFonts w:ascii="Times New Roman" w:eastAsia="仿宋_GB2312" w:hAnsi="Times New Roman" w:cs="Times New Roman" w:hint="eastAsia"/>
          <w:kern w:val="2"/>
          <w:sz w:val="32"/>
          <w:szCs w:val="32"/>
        </w:rPr>
        <w:t>法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》给予处罚；构成犯罪的，依法追究刑事责任。</w:t>
      </w: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三十九</w:t>
      </w: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殡葬管理工作人员玩忽职守、滥用职权、徇私舞弊的，由其所在单位或者上级主管机关给予行政处分；构成犯罪的，依法追究刑事责任。</w:t>
      </w:r>
    </w:p>
    <w:p w:rsidR="0047189C" w:rsidRPr="004A4597" w:rsidRDefault="0047189C" w:rsidP="00324C29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</w:p>
    <w:p w:rsidR="00903572" w:rsidRPr="00164E65" w:rsidRDefault="00164E65" w:rsidP="00164E65">
      <w:pPr>
        <w:widowControl w:val="0"/>
        <w:overflowPunct w:val="0"/>
        <w:spacing w:after="0" w:line="580" w:lineRule="exact"/>
        <w:jc w:val="center"/>
        <w:rPr>
          <w:rFonts w:ascii="Times New Roman" w:eastAsia="黑体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第七章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附</w:t>
      </w:r>
      <w:r w:rsidRPr="00164E65">
        <w:rPr>
          <w:rFonts w:ascii="Times New Roman" w:eastAsia="黑体" w:hAnsi="Times New Roman" w:cs="Times New Roman" w:hint="eastAsia"/>
          <w:bCs/>
          <w:kern w:val="2"/>
          <w:sz w:val="32"/>
          <w:szCs w:val="32"/>
        </w:rPr>
        <w:t xml:space="preserve">　　</w:t>
      </w:r>
      <w:r w:rsidR="00903572" w:rsidRPr="00164E65">
        <w:rPr>
          <w:rFonts w:ascii="Times New Roman" w:eastAsia="黑体" w:hAnsi="Times New Roman" w:cs="Times New Roman"/>
          <w:bCs/>
          <w:kern w:val="2"/>
          <w:sz w:val="32"/>
          <w:szCs w:val="32"/>
        </w:rPr>
        <w:t>则</w:t>
      </w:r>
    </w:p>
    <w:p w:rsidR="0047189C" w:rsidRPr="004A4597" w:rsidRDefault="0047189C" w:rsidP="00324C29">
      <w:pPr>
        <w:pStyle w:val="a5"/>
        <w:widowControl w:val="0"/>
        <w:overflowPunct w:val="0"/>
        <w:spacing w:after="0" w:line="580" w:lineRule="exact"/>
        <w:ind w:firstLineChars="0" w:firstLine="0"/>
        <w:jc w:val="both"/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</w:pPr>
    </w:p>
    <w:p w:rsidR="00903572" w:rsidRPr="004A4597" w:rsidRDefault="00903572" w:rsidP="00164E65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第四十条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华侨、香港特别行政区居民、澳门特别行政区居民和台湾同胞以及外国人的殡葬事宜，按照国家有关规定执行。</w:t>
      </w:r>
    </w:p>
    <w:p w:rsidR="004358AB" w:rsidRPr="00F352EA" w:rsidRDefault="00903572" w:rsidP="00F352EA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 w:rsidRPr="004A4597">
        <w:rPr>
          <w:rFonts w:ascii="Times New Roman" w:eastAsia="黑体" w:hAnsi="Times New Roman" w:cs="Times New Roman"/>
          <w:bCs/>
          <w:color w:val="000000"/>
          <w:kern w:val="2"/>
          <w:sz w:val="32"/>
          <w:szCs w:val="32"/>
        </w:rPr>
        <w:t>第四十</w:t>
      </w:r>
      <w:r w:rsidRPr="004A4597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>一条</w:t>
      </w:r>
      <w:r w:rsidR="00164E65">
        <w:rPr>
          <w:rFonts w:ascii="Times New Roman" w:eastAsia="黑体" w:hAnsi="Times New Roman" w:cs="Times New Roman" w:hint="eastAsia"/>
          <w:bCs/>
          <w:color w:val="000000"/>
          <w:kern w:val="2"/>
          <w:sz w:val="32"/>
          <w:szCs w:val="32"/>
        </w:rPr>
        <w:t xml:space="preserve">　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本条例自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1996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年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10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月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1</w:t>
      </w:r>
      <w:r w:rsidRPr="004A4597">
        <w:rPr>
          <w:rFonts w:ascii="Times New Roman" w:eastAsia="仿宋_GB2312" w:hAnsi="Times New Roman" w:cs="Times New Roman"/>
          <w:kern w:val="2"/>
          <w:sz w:val="32"/>
          <w:szCs w:val="32"/>
        </w:rPr>
        <w:t>日起施行。</w:t>
      </w:r>
    </w:p>
    <w:sectPr w:rsidR="004358AB" w:rsidRPr="00F352EA" w:rsidSect="008421BF">
      <w:footerReference w:type="even" r:id="rId7"/>
      <w:footerReference w:type="default" r:id="rId8"/>
      <w:pgSz w:w="11906" w:h="16838" w:code="9"/>
      <w:pgMar w:top="2098" w:right="1418" w:bottom="1871" w:left="1418" w:header="851" w:footer="141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FB" w:rsidRDefault="003B0DFB" w:rsidP="00903572">
      <w:pPr>
        <w:spacing w:after="0"/>
      </w:pPr>
      <w:r>
        <w:separator/>
      </w:r>
    </w:p>
  </w:endnote>
  <w:endnote w:type="continuationSeparator" w:id="0">
    <w:p w:rsidR="003B0DFB" w:rsidRDefault="003B0DFB" w:rsidP="00903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33350"/>
      <w:docPartObj>
        <w:docPartGallery w:val="Page Numbers (Bottom of Page)"/>
        <w:docPartUnique/>
      </w:docPartObj>
    </w:sdtPr>
    <w:sdtEndPr/>
    <w:sdtContent>
      <w:p w:rsidR="008421BF" w:rsidRDefault="008421BF" w:rsidP="008421BF">
        <w:pPr>
          <w:pStyle w:val="a4"/>
          <w:spacing w:after="0"/>
        </w:pPr>
        <w:r w:rsidRPr="008421BF">
          <w:rPr>
            <w:rFonts w:ascii="Times New Roman" w:eastAsiaTheme="minorEastAsia" w:hAnsiTheme="minorEastAsia" w:cs="Times New Roman"/>
            <w:sz w:val="28"/>
            <w:szCs w:val="28"/>
          </w:rPr>
          <w:t>－</w:t>
        </w:r>
        <w:r w:rsidR="00D42FD3" w:rsidRPr="008421BF">
          <w:rPr>
            <w:rFonts w:ascii="Times New Roman" w:eastAsiaTheme="minorEastAsia" w:hAnsi="Times New Roman" w:cs="Times New Roman"/>
            <w:sz w:val="28"/>
            <w:szCs w:val="28"/>
          </w:rPr>
          <w:fldChar w:fldCharType="begin"/>
        </w:r>
        <w:r w:rsidRPr="008421BF">
          <w:rPr>
            <w:rFonts w:ascii="Times New Roman" w:eastAsiaTheme="minorEastAsia" w:hAnsi="Times New Roman" w:cs="Times New Roman"/>
            <w:sz w:val="28"/>
            <w:szCs w:val="28"/>
          </w:rPr>
          <w:instrText xml:space="preserve"> PAGE   \* MERGEFORMAT </w:instrText>
        </w:r>
        <w:r w:rsidR="00D42FD3" w:rsidRPr="008421BF">
          <w:rPr>
            <w:rFonts w:ascii="Times New Roman" w:eastAsiaTheme="minorEastAsia" w:hAnsi="Times New Roman" w:cs="Times New Roman"/>
            <w:sz w:val="28"/>
            <w:szCs w:val="28"/>
          </w:rPr>
          <w:fldChar w:fldCharType="separate"/>
        </w:r>
        <w:r w:rsidR="003B66E7" w:rsidRPr="003B66E7">
          <w:rPr>
            <w:rFonts w:ascii="Times New Roman" w:eastAsiaTheme="minorEastAsia" w:hAnsi="Times New Roman" w:cs="Times New Roman"/>
            <w:noProof/>
            <w:sz w:val="28"/>
            <w:szCs w:val="28"/>
            <w:lang w:val="zh-CN"/>
          </w:rPr>
          <w:t>8</w:t>
        </w:r>
        <w:r w:rsidR="00D42FD3" w:rsidRPr="008421BF">
          <w:rPr>
            <w:rFonts w:ascii="Times New Roman" w:eastAsiaTheme="minorEastAsia" w:hAnsi="Times New Roman" w:cs="Times New Roman"/>
            <w:sz w:val="28"/>
            <w:szCs w:val="28"/>
          </w:rPr>
          <w:fldChar w:fldCharType="end"/>
        </w:r>
        <w:r w:rsidRPr="008421BF">
          <w:rPr>
            <w:rFonts w:ascii="Times New Roman" w:eastAsiaTheme="minorEastAsia" w:hAnsiTheme="minorEastAsia" w:cs="Times New Roman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黑体" w:hAnsi="Times New Roman" w:cs="Times New Roman"/>
        <w:sz w:val="28"/>
        <w:szCs w:val="28"/>
      </w:rPr>
      <w:id w:val="8833339"/>
      <w:docPartObj>
        <w:docPartGallery w:val="Page Numbers (Bottom of Page)"/>
        <w:docPartUnique/>
      </w:docPartObj>
    </w:sdtPr>
    <w:sdtEndPr>
      <w:rPr>
        <w:rFonts w:ascii="Tahoma" w:eastAsia="微软雅黑" w:hAnsi="Tahoma" w:cstheme="minorBidi"/>
        <w:sz w:val="18"/>
        <w:szCs w:val="18"/>
      </w:rPr>
    </w:sdtEndPr>
    <w:sdtContent>
      <w:p w:rsidR="008421BF" w:rsidRDefault="008421BF" w:rsidP="008421BF">
        <w:pPr>
          <w:pStyle w:val="a4"/>
          <w:spacing w:after="0"/>
          <w:jc w:val="right"/>
        </w:pPr>
        <w:r w:rsidRPr="008421BF">
          <w:rPr>
            <w:rFonts w:ascii="Times New Roman" w:eastAsia="黑体" w:hAnsi="黑体" w:cs="Times New Roman"/>
            <w:sz w:val="28"/>
            <w:szCs w:val="28"/>
          </w:rPr>
          <w:t>－</w:t>
        </w:r>
        <w:r w:rsidR="00D42FD3" w:rsidRPr="008421BF">
          <w:rPr>
            <w:rFonts w:ascii="Times New Roman" w:eastAsia="黑体" w:hAnsi="Times New Roman" w:cs="Times New Roman"/>
            <w:sz w:val="28"/>
            <w:szCs w:val="28"/>
          </w:rPr>
          <w:fldChar w:fldCharType="begin"/>
        </w:r>
        <w:r w:rsidRPr="008421BF">
          <w:rPr>
            <w:rFonts w:ascii="Times New Roman" w:eastAsia="黑体" w:hAnsi="Times New Roman" w:cs="Times New Roman"/>
            <w:sz w:val="28"/>
            <w:szCs w:val="28"/>
          </w:rPr>
          <w:instrText xml:space="preserve"> PAGE   \* MERGEFORMAT </w:instrText>
        </w:r>
        <w:r w:rsidR="00D42FD3" w:rsidRPr="008421BF">
          <w:rPr>
            <w:rFonts w:ascii="Times New Roman" w:eastAsia="黑体" w:hAnsi="Times New Roman" w:cs="Times New Roman"/>
            <w:sz w:val="28"/>
            <w:szCs w:val="28"/>
          </w:rPr>
          <w:fldChar w:fldCharType="separate"/>
        </w:r>
        <w:r w:rsidR="003B66E7" w:rsidRPr="003B66E7">
          <w:rPr>
            <w:rFonts w:ascii="Times New Roman" w:eastAsia="黑体" w:hAnsi="Times New Roman" w:cs="Times New Roman"/>
            <w:noProof/>
            <w:sz w:val="28"/>
            <w:szCs w:val="28"/>
            <w:lang w:val="zh-CN"/>
          </w:rPr>
          <w:t>1</w:t>
        </w:r>
        <w:r w:rsidR="00D42FD3" w:rsidRPr="008421BF">
          <w:rPr>
            <w:rFonts w:ascii="Times New Roman" w:eastAsia="黑体" w:hAnsi="Times New Roman" w:cs="Times New Roman"/>
            <w:sz w:val="28"/>
            <w:szCs w:val="28"/>
          </w:rPr>
          <w:fldChar w:fldCharType="end"/>
        </w:r>
        <w:r w:rsidRPr="008421BF">
          <w:rPr>
            <w:rFonts w:ascii="Times New Roman" w:eastAsia="黑体" w:hAnsi="黑体" w:cs="Times New Roman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FB" w:rsidRDefault="003B0DFB" w:rsidP="00903572">
      <w:pPr>
        <w:spacing w:after="0"/>
      </w:pPr>
      <w:r>
        <w:separator/>
      </w:r>
    </w:p>
  </w:footnote>
  <w:footnote w:type="continuationSeparator" w:id="0">
    <w:p w:rsidR="003B0DFB" w:rsidRDefault="003B0DFB" w:rsidP="009035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37522"/>
    <w:multiLevelType w:val="hybridMultilevel"/>
    <w:tmpl w:val="29A63244"/>
    <w:lvl w:ilvl="0" w:tplc="17BAAC00">
      <w:start w:val="1"/>
      <w:numFmt w:val="japaneseCounting"/>
      <w:lvlText w:val="第%1章"/>
      <w:lvlJc w:val="left"/>
      <w:pPr>
        <w:ind w:left="17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42AF"/>
    <w:rsid w:val="00164E65"/>
    <w:rsid w:val="001C35B8"/>
    <w:rsid w:val="00252E64"/>
    <w:rsid w:val="002621B7"/>
    <w:rsid w:val="002E0103"/>
    <w:rsid w:val="00323B43"/>
    <w:rsid w:val="00324C29"/>
    <w:rsid w:val="003B0DFB"/>
    <w:rsid w:val="003B66E7"/>
    <w:rsid w:val="003D37D8"/>
    <w:rsid w:val="00426133"/>
    <w:rsid w:val="004358AB"/>
    <w:rsid w:val="0047189C"/>
    <w:rsid w:val="004A4597"/>
    <w:rsid w:val="00631145"/>
    <w:rsid w:val="008421BF"/>
    <w:rsid w:val="008B7726"/>
    <w:rsid w:val="00903572"/>
    <w:rsid w:val="00A16625"/>
    <w:rsid w:val="00D31D50"/>
    <w:rsid w:val="00D42FD3"/>
    <w:rsid w:val="00F3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11356-9A11-4FDE-B75E-629A962E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5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5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5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57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71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12</cp:revision>
  <dcterms:created xsi:type="dcterms:W3CDTF">2008-09-11T17:20:00Z</dcterms:created>
  <dcterms:modified xsi:type="dcterms:W3CDTF">2017-02-25T13:35:00Z</dcterms:modified>
</cp:coreProperties>
</file>