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6" Type="http://schemas.microsoft.com/office/2006/relationships/ui/userCustomization" Target="userCustomization/customUI.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p>
    <w:p>
      <w:pPr>
        <w:pStyle w:val="14"/>
        <w:wordWrap/>
        <w:adjustRightInd/>
        <w:snapToGrid/>
        <w:spacing w:line="572" w:lineRule="exact"/>
        <w:jc w:val="center"/>
        <w:outlineLvl w:val="0"/>
        <w:rPr>
          <w:rFonts w:hint="eastAsia" w:ascii="宋体" w:hAnsi="宋体" w:eastAsia="宋体" w:cs="宋体"/>
          <w:color w:val="000000"/>
          <w:sz w:val="44"/>
          <w:szCs w:val="44"/>
        </w:rPr>
      </w:pPr>
      <w:bookmarkStart w:id="0" w:name="_Toc370136080"/>
      <w:bookmarkStart w:id="1" w:name="_Toc402173632"/>
      <w:bookmarkStart w:id="2" w:name="_Toc23667"/>
      <w:bookmarkStart w:id="3" w:name="_Toc1649"/>
      <w:bookmarkStart w:id="4" w:name="_Toc29565"/>
      <w:bookmarkStart w:id="5" w:name="_Toc421095587"/>
      <w:bookmarkStart w:id="6" w:name="_Toc25030"/>
      <w:r>
        <w:rPr>
          <w:rFonts w:hint="eastAsia" w:ascii="宋体" w:hAnsi="宋体" w:eastAsia="宋体" w:cs="宋体"/>
          <w:color w:val="000000"/>
          <w:sz w:val="44"/>
          <w:szCs w:val="44"/>
        </w:rPr>
        <w:t>南昌市城乡规划管理规定</w:t>
      </w:r>
      <w:bookmarkEnd w:id="0"/>
      <w:bookmarkEnd w:id="1"/>
      <w:bookmarkEnd w:id="2"/>
      <w:bookmarkEnd w:id="3"/>
      <w:bookmarkEnd w:id="4"/>
      <w:bookmarkEnd w:id="5"/>
      <w:bookmarkEnd w:id="6"/>
    </w:p>
    <w:p>
      <w:pPr>
        <w:pStyle w:val="14"/>
        <w:wordWrap/>
        <w:adjustRightInd/>
        <w:snapToGrid/>
        <w:spacing w:line="572" w:lineRule="exact"/>
        <w:ind w:firstLine="630" w:firstLineChars="200"/>
        <w:jc w:val="center"/>
        <w:outlineLvl w:val="0"/>
        <w:rPr>
          <w:rFonts w:hint="eastAsia" w:ascii="仿宋_GB2312" w:hAnsi="仿宋_GB2312" w:eastAsia="仿宋_GB2312" w:cs="仿宋_GB2312"/>
          <w:color w:val="000000"/>
          <w:sz w:val="32"/>
          <w:szCs w:val="32"/>
        </w:rPr>
      </w:pPr>
    </w:p>
    <w:p>
      <w:pPr>
        <w:widowControl w:val="0"/>
        <w:wordWrap/>
        <w:adjustRightInd/>
        <w:snapToGrid/>
        <w:spacing w:line="600" w:lineRule="exact"/>
        <w:ind w:left="630" w:leftChars="200" w:right="63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（2011年8月19日南昌市第十三届人民代表大会常务委员会第三十六次会议通过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2011年12月1日</w:t>
      </w:r>
      <w:bookmarkStart w:id="7" w:name="_GoBack"/>
      <w:bookmarkEnd w:id="7"/>
      <w:r>
        <w:rPr>
          <w:rFonts w:hint="eastAsia" w:ascii="楷体_GB2312" w:hAnsi="仿宋_GB2312" w:eastAsia="楷体_GB2312" w:cs="仿宋_GB2312"/>
          <w:sz w:val="32"/>
          <w:szCs w:val="32"/>
          <w:lang w:eastAsia="zh-CN"/>
        </w:rPr>
        <w:t>江西省第十一届人民代表大会常务委员会第二十八次会议批准）</w:t>
      </w:r>
    </w:p>
    <w:p>
      <w:pPr>
        <w:wordWrap/>
        <w:adjustRightInd/>
        <w:snapToGrid/>
        <w:spacing w:line="572" w:lineRule="exact"/>
        <w:jc w:val="center"/>
        <w:rPr>
          <w:rFonts w:hint="eastAsia" w:ascii="楷体_GB2312" w:hAnsi="楷体_GB2312" w:eastAsia="楷体_GB2312" w:cs="楷体_GB2312"/>
          <w:color w:val="000000"/>
          <w:sz w:val="32"/>
          <w:szCs w:val="32"/>
          <w:lang w:val="en-US" w:eastAsia="zh-CN"/>
        </w:rPr>
      </w:pPr>
    </w:p>
    <w:p>
      <w:pPr>
        <w:wordWrap/>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wordWrap/>
        <w:adjustRightInd/>
        <w:snapToGrid/>
        <w:spacing w:line="572" w:lineRule="exact"/>
        <w:jc w:val="center"/>
        <w:rPr>
          <w:rFonts w:hint="eastAsia" w:ascii="楷体_GB2312" w:hAnsi="楷体_GB2312" w:eastAsia="楷体_GB2312" w:cs="楷体_GB2312"/>
          <w:color w:val="000000"/>
          <w:sz w:val="32"/>
          <w:szCs w:val="32"/>
          <w:lang w:val="en-US" w:eastAsia="zh-CN"/>
        </w:rPr>
      </w:pPr>
    </w:p>
    <w:p>
      <w:pPr>
        <w:numPr>
          <w:numId w:val="0"/>
        </w:numPr>
        <w:wordWrap/>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numPr>
          <w:numId w:val="0"/>
        </w:numPr>
        <w:wordWrap/>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城乡规划的实施</w:t>
      </w:r>
    </w:p>
    <w:p>
      <w:pPr>
        <w:numPr>
          <w:numId w:val="0"/>
        </w:numPr>
        <w:wordWrap/>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监督检查</w:t>
      </w:r>
    </w:p>
    <w:p>
      <w:pPr>
        <w:numPr>
          <w:numId w:val="0"/>
        </w:numPr>
        <w:wordWrap/>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第四章  法律责任</w:t>
      </w:r>
    </w:p>
    <w:p>
      <w:pPr>
        <w:numPr>
          <w:numId w:val="0"/>
        </w:numPr>
        <w:wordWrap/>
        <w:adjustRightInd/>
        <w:snapToGrid/>
        <w:spacing w:line="572" w:lineRule="exact"/>
        <w:ind w:firstLine="607"/>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第五章  附则</w:t>
      </w:r>
    </w:p>
    <w:p>
      <w:pPr>
        <w:pStyle w:val="14"/>
        <w:wordWrap/>
        <w:adjustRightInd/>
        <w:snapToGrid/>
        <w:spacing w:line="572" w:lineRule="exact"/>
        <w:ind w:firstLine="630" w:firstLineChars="200"/>
        <w:rPr>
          <w:rFonts w:hint="eastAsia" w:ascii="楷体_GB2312" w:hAnsi="楷体_GB2312" w:eastAsia="楷体_GB2312" w:cs="楷体_GB2312"/>
          <w:color w:val="000000"/>
          <w:sz w:val="32"/>
          <w:szCs w:val="32"/>
        </w:rPr>
      </w:pPr>
    </w:p>
    <w:p>
      <w:pPr>
        <w:pStyle w:val="14"/>
        <w:numPr>
          <w:numId w:val="0"/>
        </w:numPr>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pStyle w:val="14"/>
        <w:numPr>
          <w:numId w:val="0"/>
        </w:numPr>
        <w:wordWrap/>
        <w:adjustRightInd/>
        <w:snapToGrid/>
        <w:spacing w:line="572" w:lineRule="exact"/>
        <w:ind w:leftChars="200"/>
        <w:jc w:val="both"/>
        <w:rPr>
          <w:rFonts w:hint="eastAsia" w:ascii="仿宋_GB2312" w:hAnsi="仿宋_GB2312" w:eastAsia="仿宋_GB2312" w:cs="仿宋_GB2312"/>
          <w:color w:val="000000"/>
          <w:sz w:val="32"/>
          <w:szCs w:val="32"/>
        </w:rPr>
      </w:pP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为了加强城乡规划管理，协调城乡空间布局，改善人居环境，促进城乡经济社会全面协调可持续发展，根据《中华人民共和国城乡规划法》《江西省城乡规划条例》等法律、法规，结合本市实际，制定本规定。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本市行政区域内城乡规划的制定、修改、实施和监督检查以及规划区内的建设活动，应当遵守《中华人民共和国城乡规划法》《江西省城乡规划条例》和本规定。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规定所称规划区，是指城市、镇和村庄的建成区以及因城乡建设和发展需要，必须实行规划控制的区域。规划区的具体范围由市、县、镇(乡)人民政府在组织编制的城市总体规划、镇总体规划、乡规划和村庄规划中，根据城乡经济社会发展水平和统筹城乡发展的需要划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制定和实施城乡规划，应当遵循城乡统筹、合理布局、节约土地、集约发展和先规划后建设的原则；坚持以人为本、关注民生，注重提高城乡服务功能，改善城乡人居环境；注重近期建设与长远发展相结合，局部利益与整体利益相结合，建设发展与环境保护、历史文化遗产保护、自然资源保护相结合，现代化建设与保持传统风貌相结合，并符合区域人口发展、国防建设、防灾减灾和公共卫生、公共安全的需要。</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市、县人民政府应当加强对城乡规划工作的领导，统筹城乡建设和发展。</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人民政府设立的城乡规划委员会，负责对涉及城乡规划编制和实施的重大事项进行审议。城乡规划委员会审议通过的事项，报本级人民政府按照规定程序审批。城乡规划委员会的日常工作由城乡规划主管部门负责。</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乡、镇人民政府负责本行政区域内的相关城乡规划工作。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各级人民政府应当将城乡规划的编制和管理经费纳入本级财政预算并予以保障。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市城乡规划主管部门负责全市的城乡规划管理工作，并可以在各区、开发区（新区）设立派出机构。</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县城乡规划主管部门负责本行政区域内的城乡规划管理工作。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乡、镇人民政府应当确定相关机构或者专人负责本行政区域内的城乡规划管理工作；市、县城乡规划主管部门在乡、镇设立派出机构的，乡、镇人民政府应当会同其做好城乡规划的管理工作。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发展改革、工业信息产业、国土资源、财政、环境保护、城市管理行政执法、公安消防、公安交通管理、人民防空等有关部门应当按照各自职责，做好城乡规划管理的相关工作。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城乡规划主管部门应当开展城乡规划研究，加强城乡规划信息、档案及数据库的建设和管理，创新管理方式，提高城乡规划的制定、实施和监督管理水平。</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p>
    <w:p>
      <w:pPr>
        <w:pStyle w:val="14"/>
        <w:numPr>
          <w:numId w:val="0"/>
        </w:numPr>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城乡规划的实施</w:t>
      </w:r>
    </w:p>
    <w:p>
      <w:pPr>
        <w:pStyle w:val="14"/>
        <w:numPr>
          <w:numId w:val="0"/>
        </w:numPr>
        <w:wordWrap/>
        <w:adjustRightInd/>
        <w:snapToGrid/>
        <w:spacing w:line="572" w:lineRule="exact"/>
        <w:ind w:leftChars="200"/>
        <w:jc w:val="both"/>
        <w:rPr>
          <w:rFonts w:hint="eastAsia" w:ascii="仿宋_GB2312" w:hAnsi="仿宋_GB2312" w:eastAsia="仿宋_GB2312" w:cs="仿宋_GB2312"/>
          <w:color w:val="000000"/>
          <w:sz w:val="32"/>
          <w:szCs w:val="32"/>
        </w:rPr>
      </w:pP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市城乡规划主管部门应当根据有关法律、法规和国家、省有关技术标准和规定，结合实际，拟定本市城乡规划技术管理规定，经市人民政府批准后，报市人民代表大会常务委员会备案。</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各项建设用地和建设工程应当符合城乡规划，依法取得城乡规划主管部门核发的规划许可证件。规划许可证件包括选址意见书、建设用地规划许可证、建设工程规划许可证、乡村建设规划许可证。</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跨县、区的建设项目，由市城乡规划主管部门核发规划许可证件或者在征求有关县、区人民政府意见后委托相关县城乡规划主管部门核发规划许可证件。</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建设单位或者个人应当按照规划许可证件的内容进行建设。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任何单位和个人不得擅自变更规划许可证件的内容。确需变更的，应当向原许可机关申请办理变更手续。</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禁止买卖、涂改、租借或者转让规划许可证件。</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建设单位或者个人申请办理规划许可证件提交的图纸材料应当附电子文本。电子文本应当符合有关技术规范的要求。</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 xml:space="preserve">按照国家规定需要有关部门批准或者核准的建设项目，以划拨方式提供国有土地使用权的，建设单位在报送有关部门批准或者核准前，应当向城乡规划主管部门申请核发选址意见书。 </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城乡规划主管部门应当自受理之日起十个工作日内作出决定，符合条件的，核发选址意见书；不符合条件的，不予核发选址意见书，并书面告知理由。 </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在城市、镇规划区内，以划拨方式提供国有土地使用权的建设项目，在申请办理划拨土地手续前，建设单位应当向城乡规划主管部门申请办理建设用地规划许可证。  </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城乡规划主管部门应当自受理之日起三个工作日内作出决定，符合条件的，核发建设用地规划许可证；不符合条件的，不予核发建设用地规划许可证，并书面告知理由。</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在城市、镇规划区内，以出让方式提供国有土地使用权的,在国有土地使用权出让前，城乡规划主管部门应当依据控制性详细规划提出规划条件。规划条件应当作为国有土地使用权出让合同的组成部分。</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未确定规划条件的地块，不得出让国有土地使用权；规划条件未纳入国有土地使用权出让合同的，该国有土地使用权出让合同无效；给当事人造成损失的，应当依法给予赔偿。</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城乡规划主管部门提出的规划条件期满一年仍未进行国有土地使用权出让的，规划条件应当重新确定。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 xml:space="preserve">在城市、镇规划区内，以出让方式取得国有土地使用权的建设项目，建设单位应当持建设项目的批准、核准或者备案文件和国有土地使用权出让合同，向城乡规划主管部门领取建设用地规划许可证。  </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城乡规划主管部门应当自受理之日起三个工作日内核发建设用地规划许可证。</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国有土地使用权依法转让的，不得改变规划条件。确需变更规划条件或者分割土地转让的，应当重新申请确定规划条件，并将规划条件作为国有土地使用权转让合同的组成部分。</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国有土地使用权依法转让后，受让方应当持转让合同等材料，向城乡规划主管部门申请变更建设用地规划许可证。</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以拍卖、招标、挂牌等方式依法处置房屋、土地权益的，处置机构应当事先向城乡规划主管部门核实被处置房屋、土地的相关规划要求。</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建设单位应当按照规划条件进行建设，不得擅自改变用地性质、容积率等规划条件。因特殊情况需要变更的，应当按照以下程序办理：</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（一）建设单位向城乡规划主管部门提出书面申请，说明变更内容和理由，并附修建性详细规划或者建设工程设计方案的总平面图。      </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城乡规划主管部门对变更申请进行初步审查，变更内容不符合控制性详细规划的，不予批准；变更内容符合控制性详细规划的，应当组织专家对变更的必要性和修建性详细规划或者建设工程设计方案的总平面图的合理性进行论证，专家应当从专家库中随机抽调。</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三）城乡规划主管部门将变更申请和专家论证意见通过在城乡规划公示栏、城乡规划主管部门网站和同级公共资源交易中心网站以及建设用地现场公示等方式，征求利害关系人的意见，公示时间不少于七日，必要时，城乡规划主管部门应当组织听证。                                                                          </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四）经专家论证、征求利害关系人的意见后，城乡规划主管部门认为确需变更的，应当依法提出变更建议并附论证、公示等相关材料；组织听证的，还应当附听证材料，报经本级人民政府同意后作出批准变更决定。     </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（五）城乡规划主管部门应当及时将依法变更后的规划条件通报同级国土资源主管部门并公布，同时报上一级城乡规划主管部门备案。</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（六）国土资源主管部门应当与建设单位签订国有土地使用权出让变更合同，补收土地出让金。</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（七）建设单位应当持国有土地使用权出让变更合同和补交土地出让金的有关材料申请办理规划许可。</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在城市、镇规划区内进行下列工程建设的，建设单位或者个人应当向城乡规划主管部门申请办理建设工程规划许可证：</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（一）房屋建筑工程；</w:t>
      </w:r>
    </w:p>
    <w:p>
      <w:pPr>
        <w:pStyle w:val="14"/>
        <w:wordWrap/>
        <w:adjustRightInd/>
        <w:snapToGrid/>
        <w:spacing w:line="572" w:lineRule="exact"/>
        <w:ind w:left="0" w:leftChars="0" w:firstLine="0" w:firstLineChars="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（二）道路、交通、管线等各类市政设施工程；</w:t>
      </w:r>
    </w:p>
    <w:p>
      <w:pPr>
        <w:pStyle w:val="14"/>
        <w:wordWrap/>
        <w:adjustRightInd/>
        <w:snapToGrid/>
        <w:spacing w:line="572" w:lineRule="exact"/>
        <w:ind w:left="0" w:leftChars="0" w:firstLine="0" w:firstLineChars="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（三）广场、停车场、园林工程；</w:t>
      </w:r>
    </w:p>
    <w:p>
      <w:pPr>
        <w:pStyle w:val="14"/>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（四）地下空间开发利用工程；</w:t>
      </w:r>
    </w:p>
    <w:p>
      <w:pPr>
        <w:pStyle w:val="14"/>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（五）城市雕塑、大型户外广告设施工程；</w:t>
      </w:r>
    </w:p>
    <w:p>
      <w:pPr>
        <w:pStyle w:val="14"/>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（六）法律、法规、规章规定的其他建设工程。</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城市、镇规划区内主要道路临街建筑物外立面装修，需要改变规划许可条件的，应当向城乡规划主管部门申请办理建设工程规划许可证。主要道路的名录由市、县人民政府公布。</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建设单位或者个人申请办理建设工程规划许可证，应当提交以下材料：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（一）建设工程设计方案、施工图；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（二）国土资源主管部门批准使用土地的有关证明文件；</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（三）需要进行日照分析、交通影响评价等的，提供有关技术论证报告；</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（四）需要编制修建性详细规划的，提交修建性详细规划；</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（五）法律、法规、规章规定的其他材料。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单栋建筑面积超过五千平方米或者两栋以上的房屋建筑工程和道路、交通、管线等各类市政设施工程应当编制修建性详细规划。修建性详细规划或者建设工程设计方案的总平面图应当有配套管线工程详细规划。</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依法审定的修建性详细规划、建设工程设计方案的总平面图不得随意修改；确需修改的，城乡规划主管部门应当采取听证会等形式听取利害关系人的意见；因修改给利害关系人的合法权益造成损失的，应当依法给予补偿。</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修建性详细规划、建设工程设计方案的总平面图依法审定后两年内，建设单位或者个人未取得建设工程规划许可的，依法审定的修建性详细规划、建设工程设计方案的总平面图失效。</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城乡规划主管部门应当自受理之日起二十日内作出决定，符合条件的，核发建设工程规划许可证；不符合条件的，不予核发建设工程规划许可证，并书面告知理由。</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城乡规划主管部门办理建设工程规划许可时，应当与有关部门采取统一办理、联合办理、集中办理等方式，简化程序，提高效率。</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临街建筑物外立面装修工程申请办理建设工程规划许可证，建设单位或者个人应当提交以下材料：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（一）房屋所有权证或者房屋租赁合同和房屋所有权人同意装修工程的书面意见；</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（二）装修前临街建筑物外立面现状材料；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（三）装修工程设计方案及效果图；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（四）需要提交的其他材料。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城乡规划主管部门应当自受理之日起三个工作日内作出决定，符合条件的，核发建设工程规划许可证；不符合条件的，不予核发建设工程规划许可证，并书面告知理由。</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城市和县人民政府所在地镇的中心区主、次干道临街建筑物和其他高层建筑物、大型公共建筑物的建设应当提交两个以上修建性详细规划或者建设工程设计方案，经专家论证后，报城乡规划主管部门审查。</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城市规划区内一般不得新建架空线。现有架空线应当逐步埋设入地。</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城市、镇规划区内应当统一规划、集中建设住宅，城市和县人民政府所在地镇的中心区不得新建、改建、扩建零星、低层住宅。</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住宅小区的建设，应当综合配套，修建性详细规划确定的配套设施应当与住宅同步规划、同步建设、同步验收。</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旧城区改建，应当保护历史文化遗产和传统风貌，优化城市功能布局，完善基础设施和公共服务设施，降低建筑密度，增加绿地和公共空间，改善人居环境和市容景观，合理确定拆迁和建设规模，严格限制零星插建，有计划地对危房集中、基础设施落后等地段进行改建。</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建设单位或者个人应当在领取建设工程规划许可证前，按照依法审定的修建性详细规划、建设工程设计方案的总平面图拆除应当予以拆除的建筑物、构筑物和其他设施。</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在城市、镇规划区内需要搭建临时建筑物、构筑物或者建设临时道路、交通、管线工程等设施的，建设单位或者个人应当向城乡规划主管部门申请办理建设工程规划许可证。城乡规划主管部门核发建设工程规划许可证时，应当明确临时建设工程使用期限。临时建筑物、构筑物或者其他设施不得超过两层。</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建设工程使用期限不得超过两年；期满需要延续的，应当在期满三十日前向城乡规划主管部门提出申请，经批准可以延续一次，期限不得超过一年。临时建设工程应当在批准的使用期限届满前自行拆除，逾期不拆除的，由市、县人民政府责成有关部门拆除。</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临时建设工程不得办理产权登记手续。</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在城市、镇规划区内需要临时使用土地的，建设单位或者个人应当向城乡规划主管部门申请办理建设用地规划许可证。城乡规划主管部门核发的建设用地规划许可证应当注明使用期限。</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建设单位或者个人应当持建设用地规划许可证向国土资源主管部门办理临时用地审批手续。</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在乡、村庄规划区内进行乡镇企业、乡村公共设施、公益事业建设和村民住宅建设的，应当向乡、镇人民政府提出申请，乡、镇人民政府报市、县城乡规划主管部门或者按照有关规定受市、县城乡规划主管部门委托核发乡村建设规划许可证。鼓励在乡、村庄规划区内集中建设村民住宅。</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建设工程开工前，建设单位或者个人应当按照建设工程规划许可证或者乡村建设规划许可证的要求，进行建设工程放线，并提出验线书面申请。城乡规划主管部门或者乡、镇人民政府应当自接到书面申请之日起三个工作日内，到现场进行验线。经验线合格的，出具验线单。</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城市、镇规划区内房屋建筑工程施工至正负零、工程过半时，地下管线工程覆土前，建设单位或者个人应当告知城乡规划主管部门，城乡规划主管部门应当在三个工作日内到现场进行复验。</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城市、镇规划区内建设工程竣工后，建设单位或者个人应当持以下材料向城乡规划主管部门申请规划条件核实：</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（一）建设工程竣工规划条件核实申请；</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（二）建设工程规划许可证及附件、附图；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（三）经依法审定的修建性详细规划、建设工程设计方案的总平面图及设计方案效果图原件；</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（四）城乡规划主管部门出具的建设工程验线单和复验的有关材料；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（五）具有相应资质单位出具的建设工程规划条件核实测量成果报告书；</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（六）建设工程竣工现状照片；</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（七）施工图；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（八）其他需要提交的材料。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主管部门应当自受理之日起十个工作日内完成建设工程规划条件核实。经核实符合规划条件的，应当出具建设工程规划条件核实合格意见单；不符合规划条件的，应当书面要求建设单位或者个人进行整改。</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未经规划条件核实或者经核实不符合规划条件的，建设单位不得组织竣工验收，房屋权属登记机关不得办理权属登记。</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建设单位或者个人应当在建设工程规划条件核实前拆除所有临时设施并清理场地。</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p>
    <w:p>
      <w:pPr>
        <w:pStyle w:val="14"/>
        <w:numPr>
          <w:numId w:val="0"/>
        </w:numPr>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监督检查</w:t>
      </w:r>
    </w:p>
    <w:p>
      <w:pPr>
        <w:pStyle w:val="14"/>
        <w:numPr>
          <w:numId w:val="0"/>
        </w:numPr>
        <w:wordWrap/>
        <w:adjustRightInd/>
        <w:snapToGrid/>
        <w:spacing w:line="572" w:lineRule="exact"/>
        <w:ind w:leftChars="200"/>
        <w:jc w:val="both"/>
        <w:rPr>
          <w:rFonts w:hint="eastAsia" w:ascii="仿宋_GB2312" w:hAnsi="仿宋_GB2312" w:eastAsia="仿宋_GB2312" w:cs="仿宋_GB2312"/>
          <w:color w:val="000000"/>
          <w:sz w:val="32"/>
          <w:szCs w:val="32"/>
        </w:rPr>
      </w:pP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市、县人民政府及其城乡规划主管部门应当加强对城乡规划编制、审批、实施、修改的监督检查。</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市城市管理行政执法部门和县城乡规划主管部门应当建立日常巡查制度，对规划区内的建设活动进行监督检查，及时查处违反城乡规划的行为。</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市城市管理行政执法部门和县城乡规划主管部门进行监督检查，有权采取下列措施：</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（一）要求有关单位和人员提供与监督检查事项有关的文件、资料，并进行复制；</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（二）要求有关单位和人员就监督检查事项涉及的问题作出解释和说明，并根据需要进入现场进行勘测；</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（三）责令有关单位和人员停止违法行为，对不停止的，可以依法查封施工现场。</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执法人员履行监督检查职责应当出示执法证件。被监督检查的单位和人员应当予以配合，不得妨碍和阻挠依法进行的监督检查活动。</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 xml:space="preserve"> 市城乡规划主管部门和市城市管理行政执法部门应当加强工作协调，实现城乡规划管理信息共享，建立预防和制止违反城乡规划行为的联动机制。</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市城乡规划主管部门核发建设工程规划许可证后应当及时将建设工程规划许可证的主要内容告知市城市管理行政执法部门。</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市城市管理行政执法部门查处违反城乡规划的行为后，应当及时将查处情况告知市城乡规划主管部门。</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sz w:val="32"/>
          <w:szCs w:val="32"/>
        </w:rPr>
        <w:t>市城市管理行政执法部门、县城乡规划主管部门在监督检查中发现违反本规定的行为需要其他相关部门协助查处的，应当及时告知相关部门。</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 xml:space="preserve"> 乡、镇人民政府对本辖区内违反城乡规划的行为，应当依法予以制止，在乡、村庄规划区内的，乡、镇人民政府应当依法查处；在城市、镇规划区内的，应当配合市城市管理行政执法部门或者县城乡规划主管部门依法查处。</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居（村）民委员会、物业服务企业发现本区域内违反城乡规划的行为，应当及时向城乡规划主管部门、市城市管理行政执法部门或者乡、镇人民政府报告。</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县城乡规划主管部门作出的规划许可违反城乡规划法律、法规、规章的，市城乡规划主管部门有权责令其撤销或者直接撤销该规划许可，建设单位或者个人的合法权益受到损害的，作出规划许可的县城乡规划主管部门应当依法给予赔偿。</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 xml:space="preserve">城乡规划主管部门、市城市管理行政执法部门或者有关乡、镇人民政府应当公布举报电话，对接到有关违反城乡规划行为的举报，属于本单位职责范围的，应当及时受理，并依法进行核实、处理、答复；不属于本单位职责范围的，应当转交有权处理的单位，并告知举报人。 </w:t>
      </w:r>
    </w:p>
    <w:p>
      <w:pPr>
        <w:pStyle w:val="14"/>
        <w:numPr>
          <w:numId w:val="0"/>
        </w:numPr>
        <w:wordWrap/>
        <w:adjustRightInd/>
        <w:snapToGrid/>
        <w:spacing w:line="572" w:lineRule="exact"/>
        <w:jc w:val="both"/>
        <w:rPr>
          <w:rFonts w:hint="eastAsia" w:ascii="黑体" w:hAnsi="黑体" w:eastAsia="黑体" w:cs="黑体"/>
          <w:color w:val="000000"/>
          <w:sz w:val="32"/>
          <w:szCs w:val="32"/>
        </w:rPr>
      </w:pPr>
    </w:p>
    <w:p>
      <w:pPr>
        <w:pStyle w:val="14"/>
        <w:numPr>
          <w:numId w:val="0"/>
        </w:numPr>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第四章  </w:t>
      </w:r>
      <w:r>
        <w:rPr>
          <w:rFonts w:hint="eastAsia" w:ascii="黑体" w:hAnsi="黑体" w:eastAsia="黑体" w:cs="黑体"/>
          <w:color w:val="000000"/>
          <w:sz w:val="32"/>
          <w:szCs w:val="32"/>
        </w:rPr>
        <w:t>法律责任</w:t>
      </w:r>
    </w:p>
    <w:p>
      <w:pPr>
        <w:pStyle w:val="14"/>
        <w:numPr>
          <w:numId w:val="0"/>
        </w:numPr>
        <w:wordWrap/>
        <w:adjustRightInd/>
        <w:snapToGrid/>
        <w:spacing w:line="572" w:lineRule="exact"/>
        <w:jc w:val="both"/>
        <w:rPr>
          <w:rFonts w:hint="eastAsia" w:ascii="黑体" w:hAnsi="黑体" w:eastAsia="黑体" w:cs="黑体"/>
          <w:color w:val="000000"/>
          <w:sz w:val="32"/>
          <w:szCs w:val="32"/>
        </w:rPr>
      </w:pP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违反本规定，未取得建设工程规划许可证进行建设的，由市、县城乡规划主管部门责令停止建设；尚可采取改正措施消除对规划实施的影响的，限期改正，处建设工程造价百分之五以上百分之十以下罚款；无法采取改正措施消除影响的，限期拆除，可以并处建设工程造价百分之十以下罚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第四十条  </w:t>
      </w:r>
      <w:r>
        <w:rPr>
          <w:rFonts w:hint="eastAsia" w:ascii="仿宋_GB2312" w:hAnsi="仿宋_GB2312" w:eastAsia="仿宋_GB2312" w:cs="仿宋_GB2312"/>
          <w:color w:val="000000"/>
          <w:sz w:val="32"/>
          <w:szCs w:val="32"/>
        </w:rPr>
        <w:t>违反本规定，未按照建设工程规划许可证的规定进行建设的，由市、县城乡规划主管部门责令停止建设；尚可采取改正措施消除对规划实施的影响的，限期改正，处建设工程造价百分之五以上百分之八以下罚款；无法采取改正措施消除影响的，限期拆除，不能拆除的，没收实物或者违法收入，可以并处建设工程造价百分之十以下罚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第四十一条  </w:t>
      </w:r>
      <w:r>
        <w:rPr>
          <w:rFonts w:hint="eastAsia" w:ascii="仿宋_GB2312" w:hAnsi="仿宋_GB2312" w:eastAsia="仿宋_GB2312" w:cs="仿宋_GB2312"/>
          <w:color w:val="000000"/>
          <w:sz w:val="32"/>
          <w:szCs w:val="32"/>
        </w:rPr>
        <w:t>市、县城乡规划主管部门作出责令停止建设或者限期拆除的决定后，当事人不停止建设或者逾期不拆除的，建设工程所在地县级以上人民政府可以责成有关部门采取查封施工现场、强制拆除等措施。</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建设工程无法确定当事人的，市、县城乡规划主管部门可以通过公共媒体以及在建设工程所在地公告，督促建设工程当事人依法接受处理，公告期限不得少于三十日。期限届满仍无法确定当事人的，建设工程所在地县级以上人民政府可以责成有关部门强制拆除，不能拆除的，没收实物。</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sz w:val="32"/>
          <w:szCs w:val="32"/>
        </w:rPr>
        <w:t>违反本规定，在乡、村庄规划区内未依法取得乡村建设规划许可证或者未按照乡村建设规划许可证的规定进行建设的，由乡、镇人民政府责令停止建设、限期改正；逾期不改正的，可以拆除。</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第四十三条  </w:t>
      </w:r>
      <w:r>
        <w:rPr>
          <w:rFonts w:hint="eastAsia" w:ascii="仿宋_GB2312" w:hAnsi="仿宋_GB2312" w:eastAsia="仿宋_GB2312" w:cs="仿宋_GB2312"/>
          <w:color w:val="000000"/>
          <w:sz w:val="32"/>
          <w:szCs w:val="32"/>
        </w:rPr>
        <w:t>违反本规定，未经市、县城乡规划主管部门或者乡、镇人民政府验线或者验线不合格继续建设的，由市、县城乡规划主管部门或者乡、镇人民政府责令限期改正，逾期不改正的，由市、县城乡规划主管部门对建设单位处五千元以上两万元以下罚款；对个人处一千元以上三千元以下罚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违反本规定进行临时建设的，由市、县城乡规划主管部门责令停止建设、限期拆除，可以并处临时建设工程造价一倍以下罚款。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第四十五条  </w:t>
      </w:r>
      <w:r>
        <w:rPr>
          <w:rFonts w:hint="eastAsia" w:ascii="仿宋_GB2312" w:hAnsi="仿宋_GB2312" w:eastAsia="仿宋_GB2312" w:cs="仿宋_GB2312"/>
          <w:color w:val="000000"/>
          <w:sz w:val="32"/>
          <w:szCs w:val="32"/>
        </w:rPr>
        <w:t>本规定规定的行政处罚事项属于城市管理相对集中行政处罚权范围的，按照有关规定由市城市管理行政执法部门执行。</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第四十六条  </w:t>
      </w:r>
      <w:r>
        <w:rPr>
          <w:rFonts w:hint="eastAsia" w:ascii="仿宋_GB2312" w:hAnsi="仿宋_GB2312" w:eastAsia="仿宋_GB2312" w:cs="仿宋_GB2312"/>
          <w:color w:val="000000"/>
          <w:sz w:val="32"/>
          <w:szCs w:val="32"/>
        </w:rPr>
        <w:t>市城乡规划主管部门、市城市管理行政执法部门、县城乡规划主管部门以及乡、镇人民政府的工作人员滥用职权、徇私舞弊、玩忽职守的，由其所在单位或者上级主管部门给予处分；构成犯罪的，依法追究刑事责任。</w:t>
      </w:r>
    </w:p>
    <w:p>
      <w:pPr>
        <w:pStyle w:val="14"/>
        <w:wordWrap/>
        <w:adjustRightInd/>
        <w:snapToGrid/>
        <w:spacing w:line="572" w:lineRule="exact"/>
        <w:rPr>
          <w:rFonts w:hint="eastAsia" w:ascii="仿宋_GB2312" w:hAnsi="仿宋_GB2312" w:eastAsia="仿宋_GB2312" w:cs="仿宋_GB2312"/>
          <w:color w:val="000000"/>
          <w:sz w:val="32"/>
          <w:szCs w:val="32"/>
        </w:rPr>
      </w:pPr>
    </w:p>
    <w:p>
      <w:pPr>
        <w:pStyle w:val="14"/>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pStyle w:val="14"/>
        <w:numPr>
          <w:numId w:val="0"/>
        </w:numPr>
        <w:wordWrap/>
        <w:adjustRightInd/>
        <w:snapToGrid/>
        <w:spacing w:line="572" w:lineRule="exact"/>
        <w:jc w:val="both"/>
        <w:rPr>
          <w:rFonts w:hint="eastAsia" w:ascii="仿宋_GB2312" w:hAnsi="仿宋_GB2312" w:eastAsia="仿宋_GB2312" w:cs="仿宋_GB2312"/>
          <w:color w:val="000000"/>
          <w:sz w:val="32"/>
          <w:szCs w:val="32"/>
        </w:rPr>
      </w:pPr>
    </w:p>
    <w:p>
      <w:pPr>
        <w:pStyle w:val="14"/>
        <w:wordWrap/>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第四十七条  </w:t>
      </w:r>
      <w:r>
        <w:rPr>
          <w:rFonts w:hint="eastAsia" w:ascii="仿宋_GB2312" w:hAnsi="仿宋_GB2312" w:eastAsia="仿宋_GB2312" w:cs="仿宋_GB2312"/>
          <w:color w:val="000000"/>
          <w:sz w:val="32"/>
          <w:szCs w:val="32"/>
        </w:rPr>
        <w:t>本规定自2012年1月1日起施行。南昌市人民代表大会常务委员会1995年9月15日公布施行，1997年7月1日、 2001年12月29日公布修正的《南昌市城市规划管理规定》同时废止。</w:t>
      </w:r>
    </w:p>
    <w:sectPr>
      <w:footerReference r:id="rId4" w:type="default"/>
      <w:footerReference r:id="rId5" w:type="even"/>
      <w:pgSz w:w="11906" w:h="16838"/>
      <w:pgMar w:top="2098" w:right="1474" w:bottom="1984" w:left="1587" w:header="851" w:footer="1701" w:gutter="0"/>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方正黑体_GBK">
    <w:altName w:val="黑体"/>
    <w:panose1 w:val="03000509000000000000"/>
    <w:charset w:val="86"/>
    <w:family w:val="auto"/>
    <w:pitch w:val="default"/>
    <w:sig w:usb0="00000001" w:usb1="080E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chineseCountingThousand"/>
      <w:pStyle w:val="15"/>
      <w:suff w:val="space"/>
      <w:lvlText w:val="第%1章"/>
      <w:lvlJc w:val="left"/>
      <w:pPr>
        <w:ind w:left="0" w:firstLine="454"/>
      </w:pPr>
      <w:rPr>
        <w:rFonts w:hint="eastAsia" w:eastAsia="方正黑体_GBK"/>
        <w:color w:val="auto"/>
      </w:rPr>
    </w:lvl>
    <w:lvl w:ilvl="1" w:tentative="1">
      <w:start w:val="1"/>
      <w:numFmt w:val="chineseCountingThousand"/>
      <w:suff w:val="space"/>
      <w:lvlText w:val="第%2条"/>
      <w:lvlJc w:val="left"/>
      <w:pPr>
        <w:ind w:left="0" w:firstLine="0"/>
      </w:pPr>
      <w:rPr>
        <w:rFonts w:hint="eastAsia" w:eastAsia="方正黑体_GBK"/>
        <w:color w:val="auto"/>
      </w:rPr>
    </w:lvl>
    <w:lvl w:ilvl="2" w:tentative="1">
      <w:start w:val="1"/>
      <w:numFmt w:val="chineseCountingThousand"/>
      <w:suff w:val="space"/>
      <w:lvlText w:val="第%3条"/>
      <w:lvlJc w:val="left"/>
      <w:pPr>
        <w:ind w:left="0" w:firstLine="454"/>
      </w:pPr>
      <w:rPr>
        <w:rFonts w:hint="eastAsia"/>
        <w:color w:val="auto"/>
      </w:rPr>
    </w:lvl>
    <w:lvl w:ilvl="3" w:tentative="1">
      <w:start w:val="1"/>
      <w:numFmt w:val="chineseCountingThousand"/>
      <w:suff w:val="space"/>
      <w:lvlText w:val="（%4）"/>
      <w:lvlJc w:val="left"/>
      <w:pPr>
        <w:ind w:left="0" w:firstLine="340"/>
      </w:pPr>
      <w:rPr>
        <w:rFonts w:hint="eastAsia"/>
        <w:color w:val="auto"/>
      </w:rPr>
    </w:lvl>
    <w:lvl w:ilvl="4" w:tentative="1">
      <w:start w:val="1"/>
      <w:numFmt w:val="decimal"/>
      <w:suff w:val="space"/>
      <w:lvlText w:val="%5．"/>
      <w:lvlJc w:val="left"/>
      <w:pPr>
        <w:ind w:left="0" w:firstLine="454"/>
      </w:pPr>
      <w:rPr>
        <w:rFonts w:hint="eastAsia"/>
        <w:color w:val="auto"/>
      </w:rPr>
    </w:lvl>
    <w:lvl w:ilvl="5" w:tentative="1">
      <w:start w:val="1"/>
      <w:numFmt w:val="decimal"/>
      <w:suff w:val="space"/>
      <w:lvlText w:val="（%6）"/>
      <w:lvlJc w:val="left"/>
      <w:pPr>
        <w:ind w:left="0" w:firstLine="340"/>
      </w:pPr>
      <w:rPr>
        <w:rFonts w:hint="eastAsia"/>
        <w:color w:val="auto"/>
      </w:rPr>
    </w:lvl>
    <w:lvl w:ilvl="6" w:tentative="1">
      <w:start w:val="1"/>
      <w:numFmt w:val="decimalEnclosedCircle"/>
      <w:suff w:val="space"/>
      <w:lvlText w:val="%7 "/>
      <w:lvlJc w:val="left"/>
      <w:pPr>
        <w:ind w:left="0" w:firstLine="454"/>
      </w:pPr>
      <w:rPr>
        <w:rFonts w:hint="eastAsia"/>
        <w:color w:val="auto"/>
      </w:rPr>
    </w:lvl>
    <w:lvl w:ilvl="7" w:tentative="1">
      <w:start w:val="1"/>
      <w:numFmt w:val="decimal"/>
      <w:suff w:val="space"/>
      <w:lvlText w:val="%8）"/>
      <w:lvlJc w:val="left"/>
      <w:pPr>
        <w:ind w:left="0" w:firstLine="454"/>
      </w:pPr>
      <w:rPr>
        <w:rFonts w:hint="eastAsia"/>
        <w:color w:val="auto"/>
      </w:rPr>
    </w:lvl>
    <w:lvl w:ilvl="8" w:tentative="1">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evenAndOddHeaders w:val="1"/>
  <w:drawingGridHorizontalSpacing w:val="158"/>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docVars>
    <w:docVar w:name="iDocStyle" w:val="2"/>
  </w:docVars>
  <w:rsids>
    <w:rsidRoot w:val="59F65BB2"/>
    <w:rsid w:val="0036635E"/>
    <w:rsid w:val="0338297C"/>
    <w:rsid w:val="0455783A"/>
    <w:rsid w:val="07F82924"/>
    <w:rsid w:val="08FB2619"/>
    <w:rsid w:val="0A1D101C"/>
    <w:rsid w:val="0B664404"/>
    <w:rsid w:val="0EC317C6"/>
    <w:rsid w:val="104A6A9B"/>
    <w:rsid w:val="15B16CF6"/>
    <w:rsid w:val="1B995DE8"/>
    <w:rsid w:val="1C4A58F9"/>
    <w:rsid w:val="20816437"/>
    <w:rsid w:val="221D1392"/>
    <w:rsid w:val="22E67900"/>
    <w:rsid w:val="25810EAA"/>
    <w:rsid w:val="26D21E4F"/>
    <w:rsid w:val="27A27A7A"/>
    <w:rsid w:val="2926322A"/>
    <w:rsid w:val="31D16A5A"/>
    <w:rsid w:val="325D2582"/>
    <w:rsid w:val="3572254D"/>
    <w:rsid w:val="35CD22A9"/>
    <w:rsid w:val="386060C7"/>
    <w:rsid w:val="3C6E7B89"/>
    <w:rsid w:val="3D205834"/>
    <w:rsid w:val="3FBC68BE"/>
    <w:rsid w:val="41654ADF"/>
    <w:rsid w:val="41D71ABA"/>
    <w:rsid w:val="429A5406"/>
    <w:rsid w:val="460B1C45"/>
    <w:rsid w:val="4CBA2175"/>
    <w:rsid w:val="4ECF2EE3"/>
    <w:rsid w:val="4FB5625B"/>
    <w:rsid w:val="52205ADA"/>
    <w:rsid w:val="52B774AE"/>
    <w:rsid w:val="54384691"/>
    <w:rsid w:val="54861AF1"/>
    <w:rsid w:val="558E6F77"/>
    <w:rsid w:val="56C82CCD"/>
    <w:rsid w:val="57096606"/>
    <w:rsid w:val="58C33FDF"/>
    <w:rsid w:val="59F65BB2"/>
    <w:rsid w:val="5EA7680F"/>
    <w:rsid w:val="61E7543E"/>
    <w:rsid w:val="628F379A"/>
    <w:rsid w:val="62B7682E"/>
    <w:rsid w:val="690251F9"/>
    <w:rsid w:val="6CB760D4"/>
    <w:rsid w:val="6F1754BC"/>
    <w:rsid w:val="6F835837"/>
    <w:rsid w:val="736E067E"/>
    <w:rsid w:val="77862FB0"/>
    <w:rsid w:val="77F63EC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rPr/>
  </w:style>
  <w:style w:type="character" w:styleId="12">
    <w:name w:val="line number"/>
    <w:basedOn w:val="8"/>
    <w:uiPriority w:val="0"/>
    <w:rPr/>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dell1</cp:lastModifiedBy>
  <dcterms:modified xsi:type="dcterms:W3CDTF">2017-03-15T02:31:19Z</dcterms:modified>
  <dc:title>南昌市城乡集市贸易市场管理条例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