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宋体" w:hAnsi="宋体"/>
          <w:sz w:val="44"/>
          <w:szCs w:val="44"/>
        </w:rPr>
      </w:pPr>
      <w:r>
        <w:rPr>
          <w:rFonts w:hint="eastAsia"/>
        </w:rPr>
        <w:t>厦门市华侨捐赠兴办公益事业管理条例</w:t>
      </w:r>
    </w:p>
    <w:p>
      <w:pPr>
        <w:pStyle w:val="3"/>
        <w:rPr>
          <w:rFonts w:hint="eastAsia"/>
        </w:rPr>
      </w:pPr>
      <w:r>
        <w:rPr>
          <w:rFonts w:hint="eastAsia"/>
        </w:rPr>
        <w:t>（2003年5月29日厦门市第十二届人民代表大会常务委员会第四次会议通过，2003年8月1日福建省第十届人民代表大会常务委员会第四次会议批准）</w:t>
      </w:r>
    </w:p>
    <w:p>
      <w:pPr>
        <w:adjustRightInd w:val="0"/>
        <w:snapToGrid w:val="0"/>
        <w:spacing w:line="585" w:lineRule="atLeast"/>
        <w:rPr>
          <w:rFonts w:hint="eastAsia" w:ascii="方正仿宋简体" w:hAnsi="宋体" w:eastAsia="方正仿宋简体"/>
          <w:sz w:val="30"/>
          <w:szCs w:val="30"/>
        </w:rPr>
      </w:pPr>
    </w:p>
    <w:p>
      <w:pPr>
        <w:keepNext w:val="0"/>
        <w:keepLines w:val="0"/>
        <w:pageBreakBefore w:val="0"/>
        <w:widowControl w:val="0"/>
        <w:kinsoku/>
        <w:wordWrap/>
        <w:overflowPunct/>
        <w:topLinePunct w:val="0"/>
        <w:autoSpaceDE/>
        <w:autoSpaceDN/>
        <w:bidi w:val="0"/>
        <w:adjustRightInd w:val="0"/>
        <w:snapToGrid w:val="0"/>
        <w:spacing w:line="585" w:lineRule="atLeas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目</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p>
    <w:p>
      <w:pPr>
        <w:adjustRightInd w:val="0"/>
        <w:snapToGrid w:val="0"/>
        <w:spacing w:line="585" w:lineRule="atLeast"/>
        <w:ind w:firstLine="640" w:firstLineChars="200"/>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第一章  总则</w:t>
      </w:r>
    </w:p>
    <w:p>
      <w:pPr>
        <w:adjustRightInd w:val="0"/>
        <w:snapToGrid w:val="0"/>
        <w:spacing w:line="585" w:lineRule="atLeast"/>
        <w:ind w:firstLine="640" w:firstLineChars="200"/>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第二章  捐赠保护</w:t>
      </w:r>
    </w:p>
    <w:p>
      <w:pPr>
        <w:adjustRightInd w:val="0"/>
        <w:snapToGrid w:val="0"/>
        <w:spacing w:line="585" w:lineRule="atLeast"/>
        <w:ind w:firstLine="640" w:firstLineChars="200"/>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第三章  受赠管理</w:t>
      </w:r>
    </w:p>
    <w:p>
      <w:pPr>
        <w:adjustRightInd w:val="0"/>
        <w:snapToGrid w:val="0"/>
        <w:spacing w:line="585" w:lineRule="atLeast"/>
        <w:ind w:firstLine="640" w:firstLineChars="200"/>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第四章  法律责任</w:t>
      </w:r>
    </w:p>
    <w:p>
      <w:pPr>
        <w:adjustRightInd w:val="0"/>
        <w:snapToGrid w:val="0"/>
        <w:spacing w:line="585" w:lineRule="atLeast"/>
        <w:ind w:firstLine="640" w:firstLineChars="200"/>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第五章  附则</w:t>
      </w:r>
    </w:p>
    <w:p>
      <w:pPr>
        <w:adjustRightInd w:val="0"/>
        <w:snapToGrid w:val="0"/>
        <w:spacing w:line="585" w:lineRule="atLeast"/>
        <w:rPr>
          <w:rFonts w:hint="eastAsia" w:ascii="方正仿宋简体" w:hAnsi="宋体" w:eastAsia="方正仿宋简体"/>
          <w:sz w:val="30"/>
          <w:szCs w:val="30"/>
        </w:rPr>
      </w:pPr>
    </w:p>
    <w:p>
      <w:pPr>
        <w:keepNext w:val="0"/>
        <w:keepLines w:val="0"/>
        <w:pageBreakBefore w:val="0"/>
        <w:widowControl w:val="0"/>
        <w:kinsoku/>
        <w:wordWrap/>
        <w:overflowPunct/>
        <w:topLinePunct w:val="0"/>
        <w:autoSpaceDE/>
        <w:autoSpaceDN/>
        <w:bidi w:val="0"/>
        <w:adjustRightInd w:val="0"/>
        <w:snapToGrid w:val="0"/>
        <w:spacing w:line="585" w:lineRule="atLeast"/>
        <w:ind w:left="0" w:leftChars="0" w:right="0" w:rightChars="0" w:firstLine="0" w:firstLineChars="0"/>
        <w:jc w:val="center"/>
        <w:textAlignment w:val="auto"/>
        <w:outlineLvl w:val="9"/>
        <w:rPr>
          <w:rFonts w:hint="eastAsia" w:ascii="黑体" w:hAnsi="宋体" w:eastAsia="黑体"/>
          <w:sz w:val="32"/>
          <w:szCs w:val="32"/>
        </w:rPr>
      </w:pPr>
      <w:r>
        <w:rPr>
          <w:rFonts w:hint="eastAsia" w:ascii="黑体" w:hAnsi="宋体" w:eastAsia="黑体"/>
          <w:sz w:val="32"/>
          <w:szCs w:val="32"/>
        </w:rPr>
        <w:t>第一章　总</w:t>
      </w:r>
      <w:r>
        <w:rPr>
          <w:rFonts w:hint="eastAsia" w:ascii="黑体" w:hAnsi="宋体" w:eastAsia="黑体"/>
          <w:sz w:val="32"/>
          <w:szCs w:val="32"/>
          <w:lang w:val="en-US" w:eastAsia="zh-CN"/>
        </w:rPr>
        <w:t xml:space="preserve">    </w:t>
      </w:r>
      <w:r>
        <w:rPr>
          <w:rFonts w:hint="eastAsia" w:ascii="黑体" w:hAnsi="宋体" w:eastAsia="黑体"/>
          <w:sz w:val="32"/>
          <w:szCs w:val="32"/>
        </w:rPr>
        <w:t>则</w:t>
      </w:r>
    </w:p>
    <w:p>
      <w:pPr>
        <w:adjustRightInd w:val="0"/>
        <w:snapToGrid w:val="0"/>
        <w:spacing w:line="585" w:lineRule="atLeast"/>
        <w:jc w:val="center"/>
        <w:rPr>
          <w:rFonts w:hint="eastAsia" w:ascii="仿宋_GB2312" w:hAnsi="宋体" w:eastAsia="仿宋_GB2312"/>
          <w:sz w:val="32"/>
          <w:szCs w:val="32"/>
        </w:rPr>
      </w:pPr>
    </w:p>
    <w:p>
      <w:pPr>
        <w:adjustRightInd w:val="0"/>
        <w:snapToGrid w:val="0"/>
        <w:spacing w:line="585" w:lineRule="atLeast"/>
        <w:ind w:firstLine="640" w:firstLineChars="200"/>
        <w:rPr>
          <w:rFonts w:hint="eastAsia" w:ascii="仿宋_GB2312" w:hAnsi="宋体" w:eastAsia="仿宋_GB2312"/>
          <w:sz w:val="32"/>
          <w:szCs w:val="32"/>
        </w:rPr>
      </w:pPr>
      <w:r>
        <w:rPr>
          <w:rFonts w:hint="eastAsia" w:ascii="黑体" w:hAnsi="宋体" w:eastAsia="黑体"/>
          <w:sz w:val="32"/>
          <w:szCs w:val="32"/>
        </w:rPr>
        <w:t>第一条</w:t>
      </w:r>
      <w:r>
        <w:rPr>
          <w:rFonts w:hint="eastAsia" w:ascii="仿宋_GB2312" w:hAnsi="宋体" w:eastAsia="仿宋_GB2312"/>
          <w:sz w:val="32"/>
          <w:szCs w:val="32"/>
        </w:rPr>
        <w:t xml:space="preserve">  </w:t>
      </w:r>
      <w:r>
        <w:rPr>
          <w:rFonts w:hint="eastAsia" w:ascii="仿宋_GB2312" w:hAnsi="宋体" w:eastAsia="仿宋_GB2312"/>
          <w:spacing w:val="-3"/>
          <w:sz w:val="32"/>
          <w:szCs w:val="32"/>
        </w:rPr>
        <w:t>为保护华侨捐赠兴办公益事业的正当权益，加强受赠管理，根据有关法律、法规的规定，结合本市实际，制定本条例。</w:t>
      </w:r>
    </w:p>
    <w:p>
      <w:pPr>
        <w:adjustRightInd w:val="0"/>
        <w:snapToGrid w:val="0"/>
        <w:spacing w:line="585" w:lineRule="atLeast"/>
        <w:ind w:firstLine="640" w:firstLineChars="200"/>
        <w:rPr>
          <w:rFonts w:hint="eastAsia" w:ascii="仿宋_GB2312" w:hAnsi="宋体" w:eastAsia="仿宋_GB2312"/>
          <w:sz w:val="32"/>
          <w:szCs w:val="32"/>
        </w:rPr>
      </w:pPr>
      <w:r>
        <w:rPr>
          <w:rFonts w:hint="eastAsia" w:ascii="黑体" w:hAnsi="宋体" w:eastAsia="黑体"/>
          <w:sz w:val="32"/>
          <w:szCs w:val="32"/>
        </w:rPr>
        <w:t>第二条</w:t>
      </w:r>
      <w:r>
        <w:rPr>
          <w:rFonts w:hint="eastAsia" w:ascii="仿宋_GB2312" w:hAnsi="宋体" w:eastAsia="仿宋_GB2312"/>
          <w:sz w:val="32"/>
          <w:szCs w:val="32"/>
        </w:rPr>
        <w:t xml:space="preserve">  本条例所称华侨捐赠兴办公益事业，是指华侨（含华侨个人、华侨社团、华侨投资企业）在本市行政区域内无偿捐赠款物，用于兴办教育、科技、文化、医疗卫生、体育、社会福利保障事业和公共设施及其它公益事业的行为。</w:t>
      </w:r>
    </w:p>
    <w:p>
      <w:pPr>
        <w:adjustRightInd w:val="0"/>
        <w:snapToGrid w:val="0"/>
        <w:spacing w:line="585" w:lineRule="atLeast"/>
        <w:ind w:firstLine="640" w:firstLineChars="200"/>
        <w:rPr>
          <w:rFonts w:hint="eastAsia" w:ascii="仿宋_GB2312" w:hAnsi="宋体" w:eastAsia="仿宋_GB2312"/>
          <w:sz w:val="32"/>
          <w:szCs w:val="32"/>
        </w:rPr>
      </w:pPr>
      <w:r>
        <w:rPr>
          <w:rFonts w:hint="eastAsia" w:ascii="仿宋_GB2312" w:hAnsi="宋体" w:eastAsia="仿宋_GB2312"/>
          <w:sz w:val="32"/>
          <w:szCs w:val="32"/>
        </w:rPr>
        <w:t>本条例所称捐赠人，是指提供捐赠兴办公益事业的华侨。</w:t>
      </w:r>
    </w:p>
    <w:p>
      <w:pPr>
        <w:adjustRightInd w:val="0"/>
        <w:snapToGrid w:val="0"/>
        <w:spacing w:line="585" w:lineRule="atLeast"/>
        <w:ind w:firstLine="640" w:firstLineChars="200"/>
        <w:rPr>
          <w:rFonts w:hint="eastAsia" w:ascii="仿宋_GB2312" w:hAnsi="宋体" w:eastAsia="仿宋_GB2312"/>
          <w:sz w:val="32"/>
          <w:szCs w:val="32"/>
        </w:rPr>
      </w:pPr>
      <w:r>
        <w:rPr>
          <w:rFonts w:hint="eastAsia" w:ascii="仿宋_GB2312" w:hAnsi="宋体" w:eastAsia="仿宋_GB2312"/>
          <w:sz w:val="32"/>
          <w:szCs w:val="32"/>
        </w:rPr>
        <w:t>本条例所称受赠单位，是指接受华侨捐赠的社会福利机构、社会团体、人民政府及其部门、事业单位以及其它组织。</w:t>
      </w:r>
    </w:p>
    <w:p>
      <w:pPr>
        <w:adjustRightInd w:val="0"/>
        <w:snapToGrid w:val="0"/>
        <w:spacing w:line="585" w:lineRule="atLeast"/>
        <w:ind w:firstLine="640" w:firstLineChars="200"/>
        <w:rPr>
          <w:rFonts w:hint="eastAsia" w:ascii="仿宋_GB2312" w:hAnsi="宋体" w:eastAsia="仿宋_GB2312"/>
          <w:sz w:val="32"/>
          <w:szCs w:val="32"/>
        </w:rPr>
      </w:pPr>
      <w:r>
        <w:rPr>
          <w:rFonts w:hint="eastAsia" w:ascii="黑体" w:hAnsi="宋体" w:eastAsia="黑体"/>
          <w:sz w:val="32"/>
          <w:szCs w:val="32"/>
        </w:rPr>
        <w:t>第三条</w:t>
      </w:r>
      <w:r>
        <w:rPr>
          <w:rFonts w:hint="eastAsia" w:ascii="仿宋_GB2312" w:hAnsi="宋体" w:eastAsia="仿宋_GB2312"/>
          <w:sz w:val="32"/>
          <w:szCs w:val="32"/>
        </w:rPr>
        <w:t xml:space="preserve">  华侨捐赠兴办公益事业，应当遵循自愿捐赠和尊重捐赠人意愿的原则。</w:t>
      </w:r>
    </w:p>
    <w:p>
      <w:pPr>
        <w:adjustRightInd w:val="0"/>
        <w:snapToGrid w:val="0"/>
        <w:spacing w:line="585" w:lineRule="atLeast"/>
        <w:ind w:firstLine="640" w:firstLineChars="200"/>
        <w:rPr>
          <w:rFonts w:hint="eastAsia" w:ascii="仿宋_GB2312" w:hAnsi="宋体" w:eastAsia="仿宋_GB2312"/>
          <w:sz w:val="32"/>
          <w:szCs w:val="32"/>
        </w:rPr>
      </w:pPr>
      <w:r>
        <w:rPr>
          <w:rFonts w:hint="eastAsia" w:ascii="黑体" w:hAnsi="宋体" w:eastAsia="黑体"/>
          <w:sz w:val="32"/>
          <w:szCs w:val="32"/>
        </w:rPr>
        <w:t>第四条</w:t>
      </w:r>
      <w:r>
        <w:rPr>
          <w:rFonts w:hint="eastAsia" w:ascii="仿宋_GB2312" w:hAnsi="宋体" w:eastAsia="仿宋_GB2312"/>
          <w:sz w:val="32"/>
          <w:szCs w:val="32"/>
        </w:rPr>
        <w:t xml:space="preserve">  华侨捐赠兴办公益事业受法律保护。</w:t>
      </w:r>
    </w:p>
    <w:p>
      <w:pPr>
        <w:adjustRightInd w:val="0"/>
        <w:snapToGrid w:val="0"/>
        <w:spacing w:line="585" w:lineRule="atLeast"/>
        <w:ind w:firstLine="640" w:firstLineChars="200"/>
        <w:rPr>
          <w:rFonts w:hint="eastAsia" w:ascii="仿宋_GB2312" w:hAnsi="宋体" w:eastAsia="仿宋_GB2312"/>
          <w:sz w:val="32"/>
          <w:szCs w:val="32"/>
        </w:rPr>
      </w:pPr>
      <w:r>
        <w:rPr>
          <w:rFonts w:hint="eastAsia" w:ascii="仿宋_GB2312" w:hAnsi="宋体" w:eastAsia="仿宋_GB2312"/>
          <w:sz w:val="32"/>
          <w:szCs w:val="32"/>
        </w:rPr>
        <w:t>捐赠人捐赠和受赠单位接受捐赠，必须遵守法律、法规，符合国家和社会公共利益。</w:t>
      </w:r>
    </w:p>
    <w:p>
      <w:pPr>
        <w:adjustRightInd w:val="0"/>
        <w:snapToGrid w:val="0"/>
        <w:spacing w:line="585" w:lineRule="atLeast"/>
        <w:ind w:firstLine="640" w:firstLineChars="200"/>
        <w:rPr>
          <w:rFonts w:hint="eastAsia" w:ascii="仿宋_GB2312" w:hAnsi="宋体" w:eastAsia="仿宋_GB2312"/>
          <w:sz w:val="32"/>
          <w:szCs w:val="32"/>
        </w:rPr>
      </w:pPr>
      <w:r>
        <w:rPr>
          <w:rFonts w:hint="eastAsia" w:ascii="黑体" w:hAnsi="宋体" w:eastAsia="黑体"/>
          <w:sz w:val="32"/>
          <w:szCs w:val="32"/>
        </w:rPr>
        <w:t>第五条</w:t>
      </w:r>
      <w:r>
        <w:rPr>
          <w:rFonts w:hint="eastAsia" w:ascii="仿宋_GB2312" w:hAnsi="宋体" w:eastAsia="仿宋_GB2312"/>
          <w:sz w:val="32"/>
          <w:szCs w:val="32"/>
        </w:rPr>
        <w:t xml:space="preserve">  各级人民政府应当支持、鼓励和保护华侨捐赠活动，对在捐赠兴办公益事业中作出贡献的应予以表彰。</w:t>
      </w:r>
    </w:p>
    <w:p>
      <w:pPr>
        <w:adjustRightInd w:val="0"/>
        <w:snapToGrid w:val="0"/>
        <w:spacing w:line="585" w:lineRule="atLeast"/>
        <w:ind w:firstLine="640" w:firstLineChars="200"/>
        <w:rPr>
          <w:rFonts w:hint="eastAsia" w:ascii="仿宋_GB2312" w:hAnsi="宋体" w:eastAsia="仿宋_GB2312"/>
          <w:sz w:val="32"/>
          <w:szCs w:val="32"/>
        </w:rPr>
      </w:pPr>
      <w:r>
        <w:rPr>
          <w:rFonts w:hint="eastAsia" w:ascii="黑体" w:hAnsi="宋体" w:eastAsia="黑体"/>
          <w:sz w:val="32"/>
          <w:szCs w:val="32"/>
        </w:rPr>
        <w:t>第六条</w:t>
      </w:r>
      <w:r>
        <w:rPr>
          <w:rFonts w:hint="eastAsia" w:ascii="仿宋_GB2312" w:hAnsi="宋体" w:eastAsia="仿宋_GB2312"/>
          <w:sz w:val="32"/>
          <w:szCs w:val="32"/>
        </w:rPr>
        <w:t xml:space="preserve">  市、区人民政府侨务行政主管部门负责华侨捐赠工作的指导、管理和监督，其它有关行政主管部门依照各自职责做好华侨捐赠管理工作。</w:t>
      </w:r>
    </w:p>
    <w:p>
      <w:pPr>
        <w:adjustRightInd w:val="0"/>
        <w:snapToGrid w:val="0"/>
        <w:spacing w:line="585" w:lineRule="atLeast"/>
        <w:ind w:firstLine="640" w:firstLineChars="200"/>
        <w:rPr>
          <w:rFonts w:hint="eastAsia" w:ascii="仿宋_GB2312" w:hAnsi="宋体"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5" w:lineRule="atLeast"/>
        <w:ind w:left="0" w:leftChars="0" w:right="0" w:rightChars="0" w:firstLine="0" w:firstLineChars="0"/>
        <w:jc w:val="center"/>
        <w:textAlignment w:val="auto"/>
        <w:outlineLvl w:val="9"/>
        <w:rPr>
          <w:rFonts w:hint="eastAsia" w:ascii="黑体" w:hAnsi="宋体" w:eastAsia="黑体"/>
          <w:sz w:val="32"/>
          <w:szCs w:val="32"/>
        </w:rPr>
      </w:pPr>
      <w:r>
        <w:rPr>
          <w:rFonts w:hint="eastAsia" w:ascii="黑体" w:hAnsi="宋体" w:eastAsia="黑体"/>
          <w:sz w:val="32"/>
          <w:szCs w:val="32"/>
        </w:rPr>
        <w:t>第二章　捐赠保护</w:t>
      </w:r>
    </w:p>
    <w:p>
      <w:pPr>
        <w:adjustRightInd w:val="0"/>
        <w:snapToGrid w:val="0"/>
        <w:spacing w:line="585" w:lineRule="atLeast"/>
        <w:jc w:val="center"/>
        <w:rPr>
          <w:rFonts w:hint="eastAsia" w:ascii="仿宋_GB2312" w:hAnsi="宋体" w:eastAsia="仿宋_GB2312"/>
          <w:sz w:val="32"/>
          <w:szCs w:val="32"/>
        </w:rPr>
      </w:pPr>
    </w:p>
    <w:p>
      <w:pPr>
        <w:adjustRightInd w:val="0"/>
        <w:snapToGrid w:val="0"/>
        <w:spacing w:line="585" w:lineRule="atLeast"/>
        <w:ind w:firstLine="640" w:firstLineChars="200"/>
        <w:rPr>
          <w:rFonts w:hint="eastAsia" w:ascii="仿宋_GB2312" w:hAnsi="宋体" w:eastAsia="仿宋_GB2312"/>
          <w:sz w:val="32"/>
          <w:szCs w:val="32"/>
        </w:rPr>
      </w:pPr>
      <w:r>
        <w:rPr>
          <w:rFonts w:hint="eastAsia" w:ascii="黑体" w:hAnsi="宋体" w:eastAsia="黑体"/>
          <w:sz w:val="32"/>
          <w:szCs w:val="32"/>
        </w:rPr>
        <w:t>第七条</w:t>
      </w:r>
      <w:r>
        <w:rPr>
          <w:rFonts w:hint="eastAsia" w:ascii="仿宋_GB2312" w:hAnsi="宋体" w:eastAsia="仿宋_GB2312"/>
          <w:sz w:val="32"/>
          <w:szCs w:val="32"/>
        </w:rPr>
        <w:t xml:space="preserve">  捐赠人有权自行决定捐赠的方式、数额、用途和受赠单位。</w:t>
      </w:r>
    </w:p>
    <w:p>
      <w:pPr>
        <w:adjustRightInd w:val="0"/>
        <w:snapToGrid w:val="0"/>
        <w:spacing w:line="585" w:lineRule="atLeast"/>
        <w:ind w:firstLine="640" w:firstLineChars="200"/>
        <w:rPr>
          <w:rFonts w:hint="eastAsia" w:ascii="仿宋_GB2312" w:hAnsi="宋体" w:eastAsia="仿宋_GB2312"/>
          <w:sz w:val="32"/>
          <w:szCs w:val="32"/>
        </w:rPr>
      </w:pPr>
      <w:r>
        <w:rPr>
          <w:rFonts w:hint="eastAsia" w:ascii="仿宋_GB2312" w:hAnsi="宋体" w:eastAsia="仿宋_GB2312"/>
          <w:sz w:val="32"/>
          <w:szCs w:val="32"/>
        </w:rPr>
        <w:t>任何单位和个人不得违背捐赠人的意愿进行劝募、摊派。</w:t>
      </w:r>
    </w:p>
    <w:p>
      <w:pPr>
        <w:keepNext w:val="0"/>
        <w:keepLines w:val="0"/>
        <w:pageBreakBefore w:val="0"/>
        <w:widowControl w:val="0"/>
        <w:kinsoku/>
        <w:wordWrap/>
        <w:overflowPunct/>
        <w:topLinePunct w:val="0"/>
        <w:autoSpaceDE/>
        <w:autoSpaceDN/>
        <w:bidi w:val="0"/>
        <w:adjustRightInd w:val="0"/>
        <w:snapToGrid w:val="0"/>
        <w:spacing w:line="540" w:lineRule="atLeast"/>
        <w:ind w:left="0" w:leftChars="0" w:right="0" w:rightChars="0" w:firstLine="624" w:firstLineChars="200"/>
        <w:jc w:val="both"/>
        <w:textAlignment w:val="auto"/>
        <w:outlineLvl w:val="9"/>
        <w:rPr>
          <w:rFonts w:hint="eastAsia" w:ascii="仿宋_GB2312" w:hAnsi="宋体" w:eastAsia="仿宋_GB2312"/>
          <w:sz w:val="32"/>
          <w:szCs w:val="32"/>
        </w:rPr>
      </w:pPr>
      <w:r>
        <w:rPr>
          <w:rFonts w:hint="eastAsia" w:ascii="黑体" w:hAnsi="宋体" w:eastAsia="黑体"/>
          <w:sz w:val="32"/>
          <w:szCs w:val="32"/>
        </w:rPr>
        <w:t>第八条</w:t>
      </w:r>
      <w:r>
        <w:rPr>
          <w:rFonts w:hint="eastAsia" w:ascii="仿宋_GB2312" w:hAnsi="宋体" w:eastAsia="仿宋_GB2312"/>
          <w:sz w:val="32"/>
          <w:szCs w:val="32"/>
        </w:rPr>
        <w:t xml:space="preserve">  捐赠人有权直接或委托有关单位和个人，对其捐赠款物的使用和兴办公益事业项目的建设进行监督。</w:t>
      </w:r>
    </w:p>
    <w:p>
      <w:pPr>
        <w:keepNext w:val="0"/>
        <w:keepLines w:val="0"/>
        <w:pageBreakBefore w:val="0"/>
        <w:widowControl w:val="0"/>
        <w:kinsoku/>
        <w:wordWrap/>
        <w:overflowPunct/>
        <w:topLinePunct w:val="0"/>
        <w:autoSpaceDE/>
        <w:autoSpaceDN/>
        <w:bidi w:val="0"/>
        <w:adjustRightInd w:val="0"/>
        <w:snapToGrid w:val="0"/>
        <w:spacing w:line="540" w:lineRule="atLeast"/>
        <w:ind w:left="0" w:leftChars="0" w:right="0" w:rightChars="0" w:firstLine="624" w:firstLineChars="200"/>
        <w:jc w:val="both"/>
        <w:textAlignment w:val="auto"/>
        <w:outlineLvl w:val="9"/>
        <w:rPr>
          <w:rFonts w:hint="eastAsia" w:ascii="仿宋_GB2312" w:hAnsi="宋体" w:eastAsia="仿宋_GB2312"/>
          <w:sz w:val="32"/>
          <w:szCs w:val="32"/>
        </w:rPr>
      </w:pPr>
      <w:r>
        <w:rPr>
          <w:rFonts w:hint="eastAsia" w:ascii="仿宋_GB2312" w:hAnsi="宋体" w:eastAsia="仿宋_GB2312"/>
          <w:sz w:val="32"/>
          <w:szCs w:val="32"/>
        </w:rPr>
        <w:t>对违反捐赠人意愿的行为，捐赠人有权向侨务行政主管部门或者受赠单位主管部门投诉，侨务行政主管部门或者受赠单位主管部门应当在接到投诉之日起三十日内调查处理，并将调查处理结果书面答复捐赠人。</w:t>
      </w:r>
    </w:p>
    <w:p>
      <w:pPr>
        <w:keepNext w:val="0"/>
        <w:keepLines w:val="0"/>
        <w:pageBreakBefore w:val="0"/>
        <w:widowControl w:val="0"/>
        <w:kinsoku/>
        <w:wordWrap/>
        <w:overflowPunct/>
        <w:topLinePunct w:val="0"/>
        <w:autoSpaceDE/>
        <w:autoSpaceDN/>
        <w:bidi w:val="0"/>
        <w:adjustRightInd w:val="0"/>
        <w:snapToGrid w:val="0"/>
        <w:spacing w:line="540" w:lineRule="atLeast"/>
        <w:ind w:left="0" w:leftChars="0" w:right="0" w:rightChars="0" w:firstLine="624" w:firstLineChars="200"/>
        <w:jc w:val="both"/>
        <w:textAlignment w:val="auto"/>
        <w:outlineLvl w:val="9"/>
        <w:rPr>
          <w:rFonts w:hint="eastAsia" w:ascii="仿宋_GB2312" w:hAnsi="宋体" w:eastAsia="仿宋_GB2312"/>
          <w:sz w:val="32"/>
          <w:szCs w:val="32"/>
        </w:rPr>
      </w:pPr>
      <w:r>
        <w:rPr>
          <w:rFonts w:hint="eastAsia" w:ascii="黑体" w:hAnsi="宋体" w:eastAsia="黑体"/>
          <w:sz w:val="32"/>
          <w:szCs w:val="32"/>
        </w:rPr>
        <w:t>第九条</w:t>
      </w:r>
      <w:r>
        <w:rPr>
          <w:rFonts w:hint="eastAsia" w:ascii="仿宋_GB2312" w:hAnsi="宋体" w:eastAsia="仿宋_GB2312"/>
          <w:sz w:val="32"/>
          <w:szCs w:val="32"/>
        </w:rPr>
        <w:t xml:space="preserve">  捐赠人要求对自己捐赠情况给予保密的，应当予以保密。</w:t>
      </w:r>
    </w:p>
    <w:p>
      <w:pPr>
        <w:keepNext w:val="0"/>
        <w:keepLines w:val="0"/>
        <w:pageBreakBefore w:val="0"/>
        <w:widowControl w:val="0"/>
        <w:kinsoku/>
        <w:wordWrap/>
        <w:overflowPunct/>
        <w:topLinePunct w:val="0"/>
        <w:autoSpaceDE/>
        <w:autoSpaceDN/>
        <w:bidi w:val="0"/>
        <w:adjustRightInd w:val="0"/>
        <w:snapToGrid w:val="0"/>
        <w:spacing w:line="540" w:lineRule="atLeast"/>
        <w:ind w:left="0" w:leftChars="0" w:right="0" w:rightChars="0" w:firstLine="624" w:firstLineChars="200"/>
        <w:jc w:val="both"/>
        <w:textAlignment w:val="auto"/>
        <w:outlineLvl w:val="9"/>
        <w:rPr>
          <w:rFonts w:hint="eastAsia" w:ascii="仿宋_GB2312" w:hAnsi="宋体" w:eastAsia="仿宋_GB2312"/>
          <w:sz w:val="32"/>
          <w:szCs w:val="32"/>
        </w:rPr>
      </w:pPr>
      <w:r>
        <w:rPr>
          <w:rFonts w:hint="eastAsia" w:ascii="仿宋_GB2312" w:hAnsi="宋体" w:eastAsia="仿宋_GB2312"/>
          <w:sz w:val="32"/>
          <w:szCs w:val="32"/>
        </w:rPr>
        <w:t>公开报道和宣传华侨捐赠情况，必须征得捐赠人同意，并遵守国家有关规定。</w:t>
      </w:r>
    </w:p>
    <w:p>
      <w:pPr>
        <w:keepNext w:val="0"/>
        <w:keepLines w:val="0"/>
        <w:pageBreakBefore w:val="0"/>
        <w:widowControl w:val="0"/>
        <w:kinsoku/>
        <w:wordWrap/>
        <w:overflowPunct/>
        <w:topLinePunct w:val="0"/>
        <w:autoSpaceDE/>
        <w:autoSpaceDN/>
        <w:bidi w:val="0"/>
        <w:adjustRightInd w:val="0"/>
        <w:snapToGrid w:val="0"/>
        <w:spacing w:line="540" w:lineRule="atLeast"/>
        <w:ind w:left="0" w:leftChars="0" w:right="0" w:rightChars="0" w:firstLine="624" w:firstLineChars="200"/>
        <w:jc w:val="both"/>
        <w:textAlignment w:val="auto"/>
        <w:outlineLvl w:val="9"/>
        <w:rPr>
          <w:rFonts w:hint="eastAsia" w:ascii="仿宋_GB2312" w:hAnsi="宋体" w:eastAsia="仿宋_GB2312"/>
          <w:sz w:val="32"/>
          <w:szCs w:val="32"/>
        </w:rPr>
      </w:pPr>
      <w:r>
        <w:rPr>
          <w:rFonts w:hint="eastAsia" w:ascii="黑体" w:hAnsi="宋体" w:eastAsia="黑体"/>
          <w:sz w:val="32"/>
          <w:szCs w:val="32"/>
        </w:rPr>
        <w:t>第十条</w:t>
      </w:r>
      <w:r>
        <w:rPr>
          <w:rFonts w:hint="eastAsia" w:ascii="仿宋_GB2312" w:hAnsi="宋体" w:eastAsia="仿宋_GB2312"/>
          <w:sz w:val="32"/>
          <w:szCs w:val="32"/>
        </w:rPr>
        <w:t xml:space="preserve">  捐赠人要求为其捐赠兴办的公益事业命名的，应当经市、区人民政府批准。国家另有规定的，从其规定。</w:t>
      </w:r>
    </w:p>
    <w:p>
      <w:pPr>
        <w:keepNext w:val="0"/>
        <w:keepLines w:val="0"/>
        <w:pageBreakBefore w:val="0"/>
        <w:widowControl w:val="0"/>
        <w:kinsoku/>
        <w:wordWrap/>
        <w:overflowPunct/>
        <w:topLinePunct w:val="0"/>
        <w:autoSpaceDE/>
        <w:autoSpaceDN/>
        <w:bidi w:val="0"/>
        <w:adjustRightInd w:val="0"/>
        <w:snapToGrid w:val="0"/>
        <w:spacing w:line="540" w:lineRule="atLeast"/>
        <w:ind w:left="0" w:leftChars="0" w:right="0" w:rightChars="0" w:firstLine="624" w:firstLineChars="200"/>
        <w:jc w:val="both"/>
        <w:textAlignment w:val="auto"/>
        <w:outlineLvl w:val="9"/>
        <w:rPr>
          <w:rFonts w:hint="eastAsia" w:ascii="仿宋_GB2312" w:hAnsi="宋体" w:eastAsia="仿宋_GB2312"/>
          <w:sz w:val="32"/>
          <w:szCs w:val="32"/>
        </w:rPr>
      </w:pPr>
      <w:r>
        <w:rPr>
          <w:rFonts w:hint="eastAsia" w:ascii="黑体" w:hAnsi="宋体" w:eastAsia="黑体"/>
          <w:sz w:val="32"/>
          <w:szCs w:val="32"/>
        </w:rPr>
        <w:t>第十一条</w:t>
      </w:r>
      <w:r>
        <w:rPr>
          <w:rFonts w:hint="eastAsia" w:ascii="仿宋_GB2312" w:hAnsi="宋体" w:eastAsia="仿宋_GB2312"/>
          <w:sz w:val="32"/>
          <w:szCs w:val="32"/>
        </w:rPr>
        <w:t xml:space="preserve">  受赠单位不得要求捐赠人在捐赠款物之外再承担资金使用项目的相关税费。</w:t>
      </w:r>
    </w:p>
    <w:p>
      <w:pPr>
        <w:keepNext w:val="0"/>
        <w:keepLines w:val="0"/>
        <w:pageBreakBefore w:val="0"/>
        <w:widowControl w:val="0"/>
        <w:kinsoku/>
        <w:wordWrap/>
        <w:overflowPunct/>
        <w:topLinePunct w:val="0"/>
        <w:autoSpaceDE/>
        <w:autoSpaceDN/>
        <w:bidi w:val="0"/>
        <w:adjustRightInd w:val="0"/>
        <w:snapToGrid w:val="0"/>
        <w:spacing w:line="540" w:lineRule="atLeast"/>
        <w:ind w:left="0" w:leftChars="0" w:right="0" w:rightChars="0" w:firstLine="624" w:firstLineChars="200"/>
        <w:jc w:val="both"/>
        <w:textAlignment w:val="auto"/>
        <w:outlineLvl w:val="9"/>
        <w:rPr>
          <w:rFonts w:hint="eastAsia" w:ascii="仿宋_GB2312" w:hAnsi="宋体" w:eastAsia="仿宋_GB2312"/>
          <w:sz w:val="32"/>
          <w:szCs w:val="32"/>
        </w:rPr>
      </w:pPr>
      <w:r>
        <w:rPr>
          <w:rFonts w:hint="eastAsia" w:ascii="黑体" w:hAnsi="宋体" w:eastAsia="黑体"/>
          <w:sz w:val="32"/>
          <w:szCs w:val="32"/>
        </w:rPr>
        <w:t>第十二条</w:t>
      </w:r>
      <w:r>
        <w:rPr>
          <w:rFonts w:hint="eastAsia" w:ascii="仿宋_GB2312" w:hAnsi="宋体" w:eastAsia="仿宋_GB2312"/>
          <w:sz w:val="32"/>
          <w:szCs w:val="32"/>
        </w:rPr>
        <w:t xml:space="preserve">  华侨捐赠兴建公益事业工程项目（以下称侨捐工程）免征城市基础设施配套费和土地使用费。</w:t>
      </w:r>
    </w:p>
    <w:p>
      <w:pPr>
        <w:keepNext w:val="0"/>
        <w:keepLines w:val="0"/>
        <w:pageBreakBefore w:val="0"/>
        <w:widowControl w:val="0"/>
        <w:kinsoku/>
        <w:wordWrap/>
        <w:overflowPunct/>
        <w:topLinePunct w:val="0"/>
        <w:autoSpaceDE/>
        <w:autoSpaceDN/>
        <w:bidi w:val="0"/>
        <w:adjustRightInd w:val="0"/>
        <w:snapToGrid w:val="0"/>
        <w:spacing w:line="540" w:lineRule="atLeast"/>
        <w:ind w:left="0" w:leftChars="0" w:right="0" w:rightChars="0" w:firstLine="624" w:firstLineChars="200"/>
        <w:jc w:val="both"/>
        <w:textAlignment w:val="auto"/>
        <w:outlineLvl w:val="9"/>
        <w:rPr>
          <w:rFonts w:hint="eastAsia" w:ascii="仿宋_GB2312" w:hAnsi="宋体" w:eastAsia="仿宋_GB2312"/>
          <w:sz w:val="32"/>
          <w:szCs w:val="32"/>
        </w:rPr>
      </w:pPr>
      <w:r>
        <w:rPr>
          <w:rFonts w:hint="eastAsia" w:ascii="黑体" w:hAnsi="宋体" w:eastAsia="黑体"/>
          <w:sz w:val="32"/>
          <w:szCs w:val="32"/>
        </w:rPr>
        <w:t>第十三条</w:t>
      </w:r>
      <w:r>
        <w:rPr>
          <w:rFonts w:hint="eastAsia" w:ascii="仿宋_GB2312" w:hAnsi="宋体" w:eastAsia="仿宋_GB2312"/>
          <w:sz w:val="32"/>
          <w:szCs w:val="32"/>
        </w:rPr>
        <w:t xml:space="preserve">  捐赠人用其经营所得捐赠兴办公益事业，按照国家税法有关规定，在计算年度应纳税所得额时予以扣除。</w:t>
      </w:r>
    </w:p>
    <w:p>
      <w:pPr>
        <w:keepNext w:val="0"/>
        <w:keepLines w:val="0"/>
        <w:pageBreakBefore w:val="0"/>
        <w:widowControl w:val="0"/>
        <w:kinsoku/>
        <w:wordWrap/>
        <w:overflowPunct/>
        <w:topLinePunct w:val="0"/>
        <w:autoSpaceDE/>
        <w:autoSpaceDN/>
        <w:bidi w:val="0"/>
        <w:adjustRightInd w:val="0"/>
        <w:snapToGrid w:val="0"/>
        <w:spacing w:line="540" w:lineRule="atLeast"/>
        <w:ind w:left="0" w:leftChars="0" w:right="0" w:rightChars="0" w:firstLine="624" w:firstLineChars="200"/>
        <w:jc w:val="both"/>
        <w:textAlignment w:val="auto"/>
        <w:outlineLvl w:val="9"/>
        <w:rPr>
          <w:rFonts w:hint="eastAsia" w:ascii="仿宋_GB2312" w:hAnsi="宋体" w:eastAsia="仿宋_GB2312"/>
          <w:sz w:val="32"/>
          <w:szCs w:val="32"/>
        </w:rPr>
      </w:pPr>
      <w:r>
        <w:rPr>
          <w:rFonts w:hint="eastAsia" w:ascii="仿宋_GB2312" w:hAnsi="宋体" w:eastAsia="仿宋_GB2312"/>
          <w:sz w:val="32"/>
          <w:szCs w:val="32"/>
        </w:rPr>
        <w:t>捐赠人可以按照本市户籍管理的相关规定办理国内亲属入户。</w:t>
      </w:r>
    </w:p>
    <w:p>
      <w:pPr>
        <w:adjustRightInd w:val="0"/>
        <w:snapToGrid w:val="0"/>
        <w:spacing w:line="585" w:lineRule="atLeast"/>
        <w:ind w:firstLine="640" w:firstLineChars="200"/>
        <w:rPr>
          <w:rFonts w:hint="eastAsia" w:ascii="仿宋_GB2312" w:hAnsi="宋体"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5" w:lineRule="atLeast"/>
        <w:ind w:left="0" w:leftChars="0" w:right="0" w:rightChars="0" w:firstLine="0" w:firstLineChars="0"/>
        <w:jc w:val="center"/>
        <w:textAlignment w:val="auto"/>
        <w:outlineLvl w:val="9"/>
        <w:rPr>
          <w:rFonts w:hint="eastAsia" w:ascii="黑体" w:hAnsi="宋体" w:eastAsia="黑体"/>
          <w:sz w:val="32"/>
          <w:szCs w:val="32"/>
        </w:rPr>
      </w:pPr>
      <w:r>
        <w:rPr>
          <w:rFonts w:hint="eastAsia" w:ascii="黑体" w:hAnsi="宋体" w:eastAsia="黑体"/>
          <w:sz w:val="32"/>
          <w:szCs w:val="32"/>
        </w:rPr>
        <w:t>第三章　受赠管理</w:t>
      </w:r>
    </w:p>
    <w:p>
      <w:pPr>
        <w:adjustRightInd w:val="0"/>
        <w:snapToGrid w:val="0"/>
        <w:spacing w:line="585" w:lineRule="atLeast"/>
        <w:jc w:val="center"/>
        <w:rPr>
          <w:rFonts w:hint="eastAsia" w:ascii="仿宋_GB2312" w:hAnsi="宋体" w:eastAsia="仿宋_GB2312"/>
          <w:sz w:val="32"/>
          <w:szCs w:val="32"/>
        </w:rPr>
      </w:pPr>
    </w:p>
    <w:p>
      <w:pPr>
        <w:adjustRightInd w:val="0"/>
        <w:snapToGrid w:val="0"/>
        <w:spacing w:line="585" w:lineRule="atLeast"/>
        <w:ind w:firstLine="640" w:firstLineChars="200"/>
        <w:rPr>
          <w:rFonts w:hint="eastAsia" w:ascii="仿宋_GB2312" w:hAnsi="宋体" w:eastAsia="仿宋_GB2312"/>
          <w:sz w:val="32"/>
          <w:szCs w:val="32"/>
        </w:rPr>
      </w:pPr>
      <w:r>
        <w:rPr>
          <w:rFonts w:hint="eastAsia" w:ascii="黑体" w:hAnsi="宋体" w:eastAsia="黑体"/>
          <w:sz w:val="32"/>
          <w:szCs w:val="32"/>
        </w:rPr>
        <w:t>第十四条</w:t>
      </w:r>
      <w:r>
        <w:rPr>
          <w:rFonts w:hint="eastAsia" w:ascii="仿宋_GB2312" w:hAnsi="宋体" w:eastAsia="仿宋_GB2312"/>
          <w:sz w:val="32"/>
          <w:szCs w:val="32"/>
        </w:rPr>
        <w:t xml:space="preserve">  受赠单位接受捐赠后，应当向捐赠人出具凭证或者收据。</w:t>
      </w:r>
    </w:p>
    <w:p>
      <w:pPr>
        <w:adjustRightInd w:val="0"/>
        <w:snapToGrid w:val="0"/>
        <w:spacing w:line="585" w:lineRule="atLeast"/>
        <w:ind w:firstLine="640" w:firstLineChars="200"/>
        <w:rPr>
          <w:rFonts w:hint="eastAsia" w:ascii="仿宋_GB2312" w:hAnsi="宋体" w:eastAsia="仿宋_GB2312"/>
          <w:sz w:val="32"/>
          <w:szCs w:val="32"/>
        </w:rPr>
      </w:pPr>
      <w:r>
        <w:rPr>
          <w:rFonts w:hint="eastAsia" w:ascii="仿宋_GB2312" w:hAnsi="宋体" w:eastAsia="仿宋_GB2312"/>
          <w:sz w:val="32"/>
          <w:szCs w:val="32"/>
        </w:rPr>
        <w:t>受赠单位接受捐赠价值人民币五十万元以下的，报所在地的区侨务行政主管部门备案。捐赠价值超过人民币五十万元的，报市侨务行政主管部门备案，其中，捐赠价值人民币二百万元以上的，由市侨务行政主管部门报省侨务行政主管部门备案。</w:t>
      </w:r>
    </w:p>
    <w:p>
      <w:pPr>
        <w:adjustRightInd w:val="0"/>
        <w:snapToGrid w:val="0"/>
        <w:spacing w:line="585" w:lineRule="atLeast"/>
        <w:ind w:firstLine="640" w:firstLineChars="200"/>
        <w:rPr>
          <w:rFonts w:hint="eastAsia" w:ascii="仿宋_GB2312" w:hAnsi="宋体" w:eastAsia="仿宋_GB2312"/>
          <w:sz w:val="32"/>
          <w:szCs w:val="32"/>
        </w:rPr>
      </w:pPr>
      <w:r>
        <w:rPr>
          <w:rFonts w:hint="eastAsia" w:ascii="黑体" w:hAnsi="宋体" w:eastAsia="黑体"/>
          <w:sz w:val="32"/>
          <w:szCs w:val="32"/>
        </w:rPr>
        <w:t>第十五条</w:t>
      </w:r>
      <w:r>
        <w:rPr>
          <w:rFonts w:hint="eastAsia" w:ascii="仿宋_GB2312" w:hAnsi="宋体" w:eastAsia="仿宋_GB2312"/>
          <w:sz w:val="32"/>
          <w:szCs w:val="32"/>
        </w:rPr>
        <w:t xml:space="preserve">  受赠单位接受华侨捐赠的进口物资，应当提交下列文件，报市侨务行政主管部门确认：</w:t>
      </w:r>
    </w:p>
    <w:p>
      <w:pPr>
        <w:adjustRightInd w:val="0"/>
        <w:snapToGrid w:val="0"/>
        <w:spacing w:line="585" w:lineRule="atLeast"/>
        <w:ind w:firstLine="640" w:firstLineChars="200"/>
        <w:rPr>
          <w:rFonts w:hint="eastAsia" w:ascii="仿宋_GB2312" w:hAnsi="宋体" w:eastAsia="仿宋_GB2312"/>
          <w:sz w:val="32"/>
          <w:szCs w:val="32"/>
        </w:rPr>
      </w:pPr>
      <w:r>
        <w:rPr>
          <w:rFonts w:hint="eastAsia" w:ascii="仿宋_GB2312" w:hAnsi="宋体" w:eastAsia="仿宋_GB2312"/>
          <w:sz w:val="32"/>
          <w:szCs w:val="32"/>
        </w:rPr>
        <w:t>（一）捐赠人的捐赠意愿书或者捐赠协议书；</w:t>
      </w:r>
    </w:p>
    <w:p>
      <w:pPr>
        <w:adjustRightInd w:val="0"/>
        <w:snapToGrid w:val="0"/>
        <w:spacing w:line="585" w:lineRule="atLeast"/>
        <w:ind w:firstLine="640" w:firstLineChars="200"/>
        <w:rPr>
          <w:rFonts w:hint="eastAsia" w:ascii="仿宋_GB2312" w:hAnsi="宋体" w:eastAsia="仿宋_GB2312"/>
          <w:sz w:val="32"/>
          <w:szCs w:val="32"/>
        </w:rPr>
      </w:pPr>
      <w:r>
        <w:rPr>
          <w:rFonts w:hint="eastAsia" w:ascii="仿宋_GB2312" w:hAnsi="宋体" w:eastAsia="仿宋_GB2312"/>
          <w:sz w:val="32"/>
          <w:szCs w:val="32"/>
        </w:rPr>
        <w:t>（二）</w:t>
      </w:r>
      <w:r>
        <w:rPr>
          <w:rFonts w:hint="eastAsia" w:ascii="仿宋_GB2312" w:hAnsi="宋体" w:eastAsia="仿宋_GB2312"/>
          <w:spacing w:val="-5"/>
          <w:sz w:val="32"/>
          <w:szCs w:val="32"/>
        </w:rPr>
        <w:t>受赠单位申请接受捐赠的报告及受赠单位主管部门意见；</w:t>
      </w:r>
    </w:p>
    <w:p>
      <w:pPr>
        <w:adjustRightInd w:val="0"/>
        <w:snapToGrid w:val="0"/>
        <w:spacing w:line="585" w:lineRule="atLeast"/>
        <w:ind w:firstLine="640" w:firstLineChars="200"/>
        <w:rPr>
          <w:rFonts w:hint="eastAsia" w:ascii="仿宋_GB2312" w:hAnsi="宋体" w:eastAsia="仿宋_GB2312"/>
          <w:sz w:val="32"/>
          <w:szCs w:val="32"/>
        </w:rPr>
      </w:pPr>
      <w:r>
        <w:rPr>
          <w:rFonts w:hint="eastAsia" w:ascii="仿宋_GB2312" w:hAnsi="宋体" w:eastAsia="仿宋_GB2312"/>
          <w:sz w:val="32"/>
          <w:szCs w:val="32"/>
        </w:rPr>
        <w:t>（三）捐赠物资的清单（包括金额、种类、数量、质量等）。</w:t>
      </w:r>
    </w:p>
    <w:p>
      <w:pPr>
        <w:adjustRightInd w:val="0"/>
        <w:snapToGrid w:val="0"/>
        <w:spacing w:line="585" w:lineRule="atLeast"/>
        <w:ind w:firstLine="640" w:firstLineChars="200"/>
        <w:rPr>
          <w:rFonts w:hint="eastAsia" w:ascii="仿宋_GB2312" w:hAnsi="宋体" w:eastAsia="仿宋_GB2312"/>
          <w:sz w:val="32"/>
          <w:szCs w:val="32"/>
        </w:rPr>
      </w:pPr>
      <w:r>
        <w:rPr>
          <w:rFonts w:hint="eastAsia" w:ascii="仿宋_GB2312" w:hAnsi="宋体" w:eastAsia="仿宋_GB2312"/>
          <w:sz w:val="32"/>
          <w:szCs w:val="32"/>
        </w:rPr>
        <w:t>市侨务行政主管部门应当在收到前款所列文件之日起十五日内，将确认结果书面回复受赠单位。</w:t>
      </w:r>
    </w:p>
    <w:p>
      <w:pPr>
        <w:adjustRightInd w:val="0"/>
        <w:snapToGrid w:val="0"/>
        <w:spacing w:line="585" w:lineRule="atLeast"/>
        <w:ind w:firstLine="640" w:firstLineChars="200"/>
        <w:rPr>
          <w:rFonts w:hint="eastAsia" w:ascii="仿宋_GB2312" w:hAnsi="宋体" w:eastAsia="仿宋_GB2312"/>
          <w:sz w:val="32"/>
          <w:szCs w:val="32"/>
        </w:rPr>
      </w:pPr>
      <w:r>
        <w:rPr>
          <w:rFonts w:hint="eastAsia" w:ascii="黑体" w:hAnsi="宋体" w:eastAsia="黑体"/>
          <w:sz w:val="32"/>
          <w:szCs w:val="32"/>
        </w:rPr>
        <w:t>第十六条</w:t>
      </w:r>
      <w:r>
        <w:rPr>
          <w:rFonts w:hint="eastAsia" w:ascii="仿宋_GB2312" w:hAnsi="宋体" w:eastAsia="仿宋_GB2312"/>
          <w:sz w:val="32"/>
          <w:szCs w:val="32"/>
        </w:rPr>
        <w:t xml:space="preserve">  捐赠人捐赠的进口物资，凭市侨务行政主管部门确认文件和捐赠物资清单，由海关审核后，按照规定验放。</w:t>
      </w:r>
    </w:p>
    <w:p>
      <w:pPr>
        <w:adjustRightInd w:val="0"/>
        <w:snapToGrid w:val="0"/>
        <w:spacing w:line="585" w:lineRule="atLeast"/>
        <w:ind w:firstLine="640" w:firstLineChars="200"/>
        <w:rPr>
          <w:rFonts w:hint="eastAsia" w:ascii="仿宋_GB2312" w:hAnsi="宋体" w:eastAsia="仿宋_GB2312"/>
          <w:sz w:val="32"/>
          <w:szCs w:val="32"/>
        </w:rPr>
      </w:pPr>
      <w:r>
        <w:rPr>
          <w:rFonts w:hint="eastAsia" w:ascii="仿宋_GB2312" w:hAnsi="宋体" w:eastAsia="仿宋_GB2312"/>
          <w:sz w:val="32"/>
          <w:szCs w:val="32"/>
        </w:rPr>
        <w:t>捐赠属于实行进口许可证管理和专卖专营物资的，按国家规定办理。</w:t>
      </w:r>
    </w:p>
    <w:p>
      <w:pPr>
        <w:adjustRightInd w:val="0"/>
        <w:snapToGrid w:val="0"/>
        <w:spacing w:line="585" w:lineRule="atLeast"/>
        <w:ind w:firstLine="640" w:firstLineChars="200"/>
        <w:rPr>
          <w:rFonts w:hint="eastAsia" w:ascii="仿宋_GB2312" w:hAnsi="宋体" w:eastAsia="仿宋_GB2312"/>
          <w:sz w:val="32"/>
          <w:szCs w:val="32"/>
        </w:rPr>
      </w:pPr>
      <w:r>
        <w:rPr>
          <w:rFonts w:hint="eastAsia" w:ascii="黑体" w:hAnsi="宋体" w:eastAsia="黑体"/>
          <w:sz w:val="32"/>
          <w:szCs w:val="32"/>
        </w:rPr>
        <w:t>第十七条</w:t>
      </w:r>
      <w:r>
        <w:rPr>
          <w:rFonts w:hint="eastAsia" w:ascii="仿宋_GB2312" w:hAnsi="宋体" w:eastAsia="仿宋_GB2312"/>
          <w:sz w:val="32"/>
          <w:szCs w:val="32"/>
        </w:rPr>
        <w:t xml:space="preserve">  受赠单位不得擅自转让捐赠的进口物资，特殊情况需转让的，应当征得捐赠人同意并经原确认机关批准和海关核准；转让享受减免税的进口物资应当按照国家有关规定补税，转让所获的款项仍应当用于相关的公益事业。</w:t>
      </w:r>
    </w:p>
    <w:p>
      <w:pPr>
        <w:adjustRightInd w:val="0"/>
        <w:snapToGrid w:val="0"/>
        <w:spacing w:line="585" w:lineRule="atLeast"/>
        <w:ind w:firstLine="640" w:firstLineChars="200"/>
        <w:rPr>
          <w:rFonts w:hint="eastAsia" w:ascii="仿宋_GB2312" w:hAnsi="宋体" w:eastAsia="仿宋_GB2312"/>
          <w:sz w:val="32"/>
          <w:szCs w:val="32"/>
        </w:rPr>
      </w:pPr>
      <w:r>
        <w:rPr>
          <w:rFonts w:hint="eastAsia" w:ascii="黑体" w:hAnsi="宋体" w:eastAsia="黑体"/>
          <w:sz w:val="32"/>
          <w:szCs w:val="32"/>
        </w:rPr>
        <w:t>第十八条</w:t>
      </w:r>
      <w:r>
        <w:rPr>
          <w:rFonts w:hint="eastAsia" w:ascii="仿宋_GB2312" w:hAnsi="宋体" w:eastAsia="仿宋_GB2312"/>
          <w:sz w:val="32"/>
          <w:szCs w:val="32"/>
        </w:rPr>
        <w:t xml:space="preserve">  受赠单位应当建立健全受赠款物管理制度，对受赠款物必须登记造册。受赠的人民币或者外汇，应当设立明细帐目，按照捐赠人指定的用途专款专用；受赠的物资和房产应当按照捐赠人意愿，妥善使用和管理，不得擅自改作他用。</w:t>
      </w:r>
    </w:p>
    <w:p>
      <w:pPr>
        <w:adjustRightInd w:val="0"/>
        <w:snapToGrid w:val="0"/>
        <w:spacing w:line="585" w:lineRule="atLeast"/>
        <w:ind w:firstLine="640" w:firstLineChars="200"/>
        <w:rPr>
          <w:rFonts w:hint="eastAsia" w:ascii="仿宋_GB2312" w:hAnsi="宋体" w:eastAsia="仿宋_GB2312"/>
          <w:sz w:val="32"/>
          <w:szCs w:val="32"/>
        </w:rPr>
      </w:pPr>
      <w:r>
        <w:rPr>
          <w:rFonts w:hint="eastAsia" w:ascii="仿宋_GB2312" w:hAnsi="宋体" w:eastAsia="仿宋_GB2312"/>
          <w:sz w:val="32"/>
          <w:szCs w:val="32"/>
        </w:rPr>
        <w:t>确需改变受赠款物用途，应当征得捐赠人同意，报侨务行政主管部门备案或者审批。</w:t>
      </w:r>
    </w:p>
    <w:p>
      <w:pPr>
        <w:adjustRightInd w:val="0"/>
        <w:snapToGrid w:val="0"/>
        <w:spacing w:line="585" w:lineRule="atLeast"/>
        <w:ind w:firstLine="640" w:firstLineChars="200"/>
        <w:rPr>
          <w:rFonts w:hint="eastAsia" w:ascii="仿宋_GB2312" w:hAnsi="宋体" w:eastAsia="仿宋_GB2312"/>
          <w:sz w:val="32"/>
          <w:szCs w:val="32"/>
        </w:rPr>
      </w:pPr>
      <w:r>
        <w:rPr>
          <w:rFonts w:hint="eastAsia" w:ascii="黑体" w:hAnsi="宋体" w:eastAsia="黑体"/>
          <w:sz w:val="32"/>
          <w:szCs w:val="32"/>
        </w:rPr>
        <w:t>第十九条</w:t>
      </w:r>
      <w:r>
        <w:rPr>
          <w:rFonts w:hint="eastAsia" w:ascii="仿宋_GB2312" w:hAnsi="宋体" w:eastAsia="仿宋_GB2312"/>
          <w:sz w:val="32"/>
          <w:szCs w:val="32"/>
        </w:rPr>
        <w:t xml:space="preserve">  兴建侨捐工程，受赠单位应当与捐赠人签订捐赠协议。</w:t>
      </w:r>
    </w:p>
    <w:p>
      <w:pPr>
        <w:adjustRightInd w:val="0"/>
        <w:snapToGrid w:val="0"/>
        <w:spacing w:line="585" w:lineRule="atLeast"/>
        <w:ind w:firstLine="640" w:firstLineChars="200"/>
        <w:rPr>
          <w:rFonts w:hint="eastAsia" w:ascii="仿宋_GB2312" w:hAnsi="宋体" w:eastAsia="仿宋_GB2312"/>
          <w:sz w:val="32"/>
          <w:szCs w:val="32"/>
        </w:rPr>
      </w:pPr>
      <w:r>
        <w:rPr>
          <w:rFonts w:hint="eastAsia" w:ascii="仿宋_GB2312" w:hAnsi="宋体" w:eastAsia="仿宋_GB2312"/>
          <w:sz w:val="32"/>
          <w:szCs w:val="32"/>
        </w:rPr>
        <w:t>受赠单位应当对侨捐工程的兴建与管理全面负责。但捐赠协议另有约定的，从其约定。</w:t>
      </w:r>
    </w:p>
    <w:p>
      <w:pPr>
        <w:adjustRightInd w:val="0"/>
        <w:snapToGrid w:val="0"/>
        <w:spacing w:line="585" w:lineRule="atLeast"/>
        <w:ind w:firstLine="640" w:firstLineChars="200"/>
        <w:rPr>
          <w:rFonts w:hint="eastAsia" w:ascii="仿宋_GB2312" w:hAnsi="宋体" w:eastAsia="仿宋_GB2312"/>
          <w:sz w:val="32"/>
          <w:szCs w:val="32"/>
        </w:rPr>
      </w:pPr>
      <w:r>
        <w:rPr>
          <w:rFonts w:hint="eastAsia" w:ascii="黑体" w:hAnsi="宋体" w:eastAsia="黑体"/>
          <w:sz w:val="32"/>
          <w:szCs w:val="32"/>
        </w:rPr>
        <w:t>第二十条</w:t>
      </w:r>
      <w:r>
        <w:rPr>
          <w:rFonts w:hint="eastAsia" w:ascii="仿宋_GB2312" w:hAnsi="宋体" w:eastAsia="仿宋_GB2312"/>
          <w:sz w:val="32"/>
          <w:szCs w:val="32"/>
        </w:rPr>
        <w:t xml:space="preserve">  侨捐工程应依法按基本建设投资规定的程序报批。侨捐工程项目的确定和选址，应当符合城市、村镇规划，注重社会效益和环境效益。计划、规划、土地、建设、环保等部门应当优先办理有关手续；有关部门应当优先安排供水、供电、通讯等配套设施。</w:t>
      </w:r>
    </w:p>
    <w:p>
      <w:pPr>
        <w:adjustRightInd w:val="0"/>
        <w:snapToGrid w:val="0"/>
        <w:spacing w:line="585" w:lineRule="atLeast"/>
        <w:ind w:firstLine="640" w:firstLineChars="200"/>
        <w:rPr>
          <w:rFonts w:hint="eastAsia" w:ascii="仿宋_GB2312" w:hAnsi="宋体" w:eastAsia="仿宋_GB2312"/>
          <w:sz w:val="32"/>
          <w:szCs w:val="32"/>
        </w:rPr>
      </w:pPr>
      <w:r>
        <w:rPr>
          <w:rFonts w:hint="eastAsia" w:ascii="黑体" w:hAnsi="宋体" w:eastAsia="黑体"/>
          <w:sz w:val="32"/>
          <w:szCs w:val="32"/>
        </w:rPr>
        <w:t>第二十一条</w:t>
      </w:r>
      <w:r>
        <w:rPr>
          <w:rFonts w:hint="eastAsia" w:ascii="仿宋_GB2312" w:hAnsi="宋体" w:eastAsia="仿宋_GB2312"/>
          <w:sz w:val="32"/>
          <w:szCs w:val="32"/>
        </w:rPr>
        <w:t xml:space="preserve">  受赠单位不得擅自转让用于侨捐工程的土地或者改变其用途，不得擅自改变侨捐工程的规模和标准。侨捐工程建设款额超过捐赠数额的，超过部分由受赠单位负责。未经捐赠人主动提出，受赠单位不得向捐赠人要求追加捐赠款额。</w:t>
      </w:r>
    </w:p>
    <w:p>
      <w:pPr>
        <w:adjustRightInd w:val="0"/>
        <w:snapToGrid w:val="0"/>
        <w:spacing w:line="585" w:lineRule="atLeast"/>
        <w:ind w:firstLine="640" w:firstLineChars="200"/>
        <w:rPr>
          <w:rFonts w:hint="eastAsia" w:ascii="仿宋_GB2312" w:hAnsi="宋体" w:eastAsia="仿宋_GB2312"/>
          <w:sz w:val="32"/>
          <w:szCs w:val="32"/>
        </w:rPr>
      </w:pPr>
      <w:r>
        <w:rPr>
          <w:rFonts w:hint="eastAsia" w:ascii="黑体" w:hAnsi="宋体" w:eastAsia="黑体"/>
          <w:sz w:val="32"/>
          <w:szCs w:val="32"/>
        </w:rPr>
        <w:t>第二十二条</w:t>
      </w:r>
      <w:r>
        <w:rPr>
          <w:rFonts w:hint="eastAsia" w:ascii="仿宋_GB2312" w:hAnsi="宋体" w:eastAsia="仿宋_GB2312"/>
          <w:sz w:val="32"/>
          <w:szCs w:val="32"/>
        </w:rPr>
        <w:t xml:space="preserve">  兴建侨捐工程，受赠单位应当成立筹建机构，捐赠人可以参加或者委托他人参加筹建机构。对法律、法规规定必须招标的，或者捐赠人要求工程招标的，应当进行招标。</w:t>
      </w:r>
    </w:p>
    <w:p>
      <w:pPr>
        <w:adjustRightInd w:val="0"/>
        <w:snapToGrid w:val="0"/>
        <w:spacing w:line="585" w:lineRule="atLeast"/>
        <w:ind w:firstLine="640" w:firstLineChars="200"/>
        <w:rPr>
          <w:rFonts w:hint="eastAsia" w:ascii="仿宋_GB2312" w:hAnsi="宋体" w:eastAsia="仿宋_GB2312"/>
          <w:sz w:val="32"/>
          <w:szCs w:val="32"/>
        </w:rPr>
      </w:pPr>
      <w:r>
        <w:rPr>
          <w:rFonts w:hint="eastAsia" w:ascii="黑体" w:hAnsi="宋体" w:eastAsia="黑体"/>
          <w:sz w:val="32"/>
          <w:szCs w:val="32"/>
        </w:rPr>
        <w:t>第二十三条</w:t>
      </w:r>
      <w:r>
        <w:rPr>
          <w:rFonts w:hint="eastAsia" w:ascii="仿宋_GB2312" w:hAnsi="宋体" w:eastAsia="仿宋_GB2312"/>
          <w:sz w:val="32"/>
          <w:szCs w:val="32"/>
        </w:rPr>
        <w:t xml:space="preserve">  </w:t>
      </w:r>
      <w:r>
        <w:rPr>
          <w:rFonts w:hint="eastAsia" w:ascii="仿宋_GB2312" w:hAnsi="宋体" w:eastAsia="仿宋_GB2312"/>
          <w:spacing w:val="-3"/>
          <w:sz w:val="32"/>
          <w:szCs w:val="32"/>
        </w:rPr>
        <w:t>侨捐工程竣工后，受赠单位应当在三个月内向捐赠人报告工程款物使用、工程验收和工程结算情况，并提请侨务行政主管部门向捐赠人颁发华侨捐赠兴办公益事业项目确认证书。</w:t>
      </w:r>
    </w:p>
    <w:p>
      <w:pPr>
        <w:adjustRightInd w:val="0"/>
        <w:snapToGrid w:val="0"/>
        <w:spacing w:line="585" w:lineRule="atLeast"/>
        <w:ind w:firstLine="640" w:firstLineChars="200"/>
        <w:rPr>
          <w:rFonts w:hint="eastAsia" w:ascii="仿宋_GB2312" w:hAnsi="宋体" w:eastAsia="仿宋_GB2312"/>
          <w:sz w:val="32"/>
          <w:szCs w:val="32"/>
        </w:rPr>
      </w:pPr>
      <w:r>
        <w:rPr>
          <w:rFonts w:hint="eastAsia" w:ascii="仿宋_GB2312" w:hAnsi="宋体" w:eastAsia="仿宋_GB2312"/>
          <w:sz w:val="32"/>
          <w:szCs w:val="32"/>
        </w:rPr>
        <w:t>侨捐工程节余款应当征求捐赠人的意愿办理。</w:t>
      </w:r>
    </w:p>
    <w:p>
      <w:pPr>
        <w:adjustRightInd w:val="0"/>
        <w:snapToGrid w:val="0"/>
        <w:spacing w:line="585" w:lineRule="atLeast"/>
        <w:ind w:firstLine="640" w:firstLineChars="200"/>
        <w:rPr>
          <w:rFonts w:hint="eastAsia" w:ascii="仿宋_GB2312" w:hAnsi="宋体" w:eastAsia="仿宋_GB2312"/>
          <w:sz w:val="32"/>
          <w:szCs w:val="32"/>
        </w:rPr>
      </w:pPr>
      <w:r>
        <w:rPr>
          <w:rFonts w:hint="eastAsia" w:ascii="黑体" w:hAnsi="宋体" w:eastAsia="黑体"/>
          <w:sz w:val="32"/>
          <w:szCs w:val="32"/>
        </w:rPr>
        <w:t>第二十四条</w:t>
      </w:r>
      <w:r>
        <w:rPr>
          <w:rFonts w:hint="eastAsia" w:ascii="仿宋_GB2312" w:hAnsi="宋体" w:eastAsia="仿宋_GB2312"/>
          <w:sz w:val="32"/>
          <w:szCs w:val="32"/>
        </w:rPr>
        <w:t xml:space="preserve">  因经济建设、社会发展需要拆迁华侨捐赠兴办公益事业项目建筑物及配套设施，应当根据拆迁有关规定，依法给予重建或者合理补偿，补偿所获款项仍应用于相关的公益事业，并告知捐赠人。</w:t>
      </w:r>
    </w:p>
    <w:p>
      <w:pPr>
        <w:adjustRightInd w:val="0"/>
        <w:snapToGrid w:val="0"/>
        <w:spacing w:line="585" w:lineRule="atLeast"/>
        <w:ind w:firstLine="640" w:firstLineChars="200"/>
        <w:rPr>
          <w:rFonts w:hint="eastAsia" w:ascii="仿宋_GB2312" w:hAnsi="宋体" w:eastAsia="仿宋_GB2312"/>
          <w:sz w:val="32"/>
          <w:szCs w:val="32"/>
        </w:rPr>
      </w:pPr>
      <w:r>
        <w:rPr>
          <w:rFonts w:hint="eastAsia" w:ascii="黑体" w:hAnsi="宋体" w:eastAsia="黑体"/>
          <w:sz w:val="32"/>
          <w:szCs w:val="32"/>
        </w:rPr>
        <w:t>第二十五条</w:t>
      </w:r>
      <w:r>
        <w:rPr>
          <w:rFonts w:hint="eastAsia" w:ascii="仿宋_GB2312" w:hAnsi="宋体" w:eastAsia="仿宋_GB2312"/>
          <w:sz w:val="32"/>
          <w:szCs w:val="32"/>
        </w:rPr>
        <w:t xml:space="preserve">  对较大的捐赠项目，应当进行审计。审计结果应当报受赠单位主管部门和侨务行政主管部门，并告知捐赠人。</w:t>
      </w:r>
    </w:p>
    <w:p>
      <w:pPr>
        <w:adjustRightInd w:val="0"/>
        <w:snapToGrid w:val="0"/>
        <w:spacing w:line="585" w:lineRule="atLeast"/>
        <w:ind w:firstLine="640" w:firstLineChars="200"/>
        <w:rPr>
          <w:rFonts w:hint="eastAsia" w:ascii="仿宋_GB2312" w:hAnsi="宋体" w:eastAsia="仿宋_GB2312"/>
          <w:sz w:val="32"/>
          <w:szCs w:val="32"/>
        </w:rPr>
      </w:pPr>
      <w:r>
        <w:rPr>
          <w:rFonts w:hint="eastAsia" w:ascii="黑体" w:hAnsi="宋体" w:eastAsia="黑体"/>
          <w:sz w:val="32"/>
          <w:szCs w:val="32"/>
        </w:rPr>
        <w:t>第二十六条</w:t>
      </w:r>
      <w:r>
        <w:rPr>
          <w:rFonts w:hint="eastAsia" w:ascii="仿宋_GB2312" w:hAnsi="宋体" w:eastAsia="仿宋_GB2312"/>
          <w:sz w:val="32"/>
          <w:szCs w:val="32"/>
        </w:rPr>
        <w:t xml:space="preserve">  对捐赠人捐资设立基金会或者向有关基金会捐资的，该基金会应当依法定期进行审计，并向市侨务行政主管部门报告基金的管理使用情况。</w:t>
      </w:r>
    </w:p>
    <w:p>
      <w:pPr>
        <w:adjustRightInd w:val="0"/>
        <w:snapToGrid w:val="0"/>
        <w:spacing w:line="585" w:lineRule="atLeast"/>
        <w:ind w:firstLine="640" w:firstLineChars="200"/>
        <w:rPr>
          <w:rFonts w:hint="eastAsia" w:ascii="仿宋_GB2312" w:hAnsi="宋体"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5" w:lineRule="atLeast"/>
        <w:ind w:left="0" w:leftChars="0" w:right="0" w:rightChars="0" w:firstLine="0" w:firstLineChars="0"/>
        <w:jc w:val="center"/>
        <w:textAlignment w:val="auto"/>
        <w:outlineLvl w:val="9"/>
        <w:rPr>
          <w:rFonts w:hint="eastAsia" w:ascii="黑体" w:hAnsi="宋体" w:eastAsia="黑体"/>
          <w:sz w:val="32"/>
          <w:szCs w:val="32"/>
        </w:rPr>
      </w:pPr>
      <w:r>
        <w:rPr>
          <w:rFonts w:hint="eastAsia" w:ascii="黑体" w:hAnsi="宋体" w:eastAsia="黑体"/>
          <w:sz w:val="32"/>
          <w:szCs w:val="32"/>
        </w:rPr>
        <w:t>第四章　法律责任</w:t>
      </w:r>
    </w:p>
    <w:p>
      <w:pPr>
        <w:adjustRightInd w:val="0"/>
        <w:snapToGrid w:val="0"/>
        <w:spacing w:line="585" w:lineRule="atLeast"/>
        <w:jc w:val="center"/>
        <w:rPr>
          <w:rFonts w:hint="eastAsia" w:ascii="仿宋_GB2312" w:hAnsi="宋体" w:eastAsia="仿宋_GB2312"/>
          <w:sz w:val="32"/>
          <w:szCs w:val="32"/>
        </w:rPr>
      </w:pPr>
    </w:p>
    <w:p>
      <w:pPr>
        <w:adjustRightInd w:val="0"/>
        <w:snapToGrid w:val="0"/>
        <w:spacing w:line="585" w:lineRule="atLeast"/>
        <w:ind w:firstLine="640" w:firstLineChars="200"/>
        <w:rPr>
          <w:rFonts w:hint="eastAsia" w:ascii="仿宋_GB2312" w:hAnsi="宋体" w:eastAsia="仿宋_GB2312"/>
          <w:sz w:val="32"/>
          <w:szCs w:val="32"/>
        </w:rPr>
      </w:pPr>
      <w:r>
        <w:rPr>
          <w:rFonts w:hint="eastAsia" w:ascii="黑体" w:hAnsi="宋体" w:eastAsia="黑体"/>
          <w:sz w:val="32"/>
          <w:szCs w:val="32"/>
        </w:rPr>
        <w:t>第二十七条</w:t>
      </w:r>
      <w:r>
        <w:rPr>
          <w:rFonts w:hint="eastAsia" w:ascii="仿宋_GB2312" w:hAnsi="宋体" w:eastAsia="仿宋_GB2312"/>
          <w:sz w:val="32"/>
          <w:szCs w:val="32"/>
        </w:rPr>
        <w:t xml:space="preserve">  违背捐赠人意愿，进行劝募、摊派造成不良影响的，擅自改变捐赠款物、侨捐工程的性质、用途的，由其所在单位或者主管部门责令限期改正，并可依法对有关责任人给予行政处分。</w:t>
      </w:r>
    </w:p>
    <w:p>
      <w:pPr>
        <w:adjustRightInd w:val="0"/>
        <w:snapToGrid w:val="0"/>
        <w:spacing w:line="585" w:lineRule="atLeast"/>
        <w:ind w:firstLine="640" w:firstLineChars="200"/>
        <w:rPr>
          <w:rFonts w:hint="eastAsia" w:ascii="仿宋_GB2312" w:hAnsi="宋体" w:eastAsia="仿宋_GB2312"/>
          <w:sz w:val="32"/>
          <w:szCs w:val="32"/>
        </w:rPr>
      </w:pPr>
      <w:r>
        <w:rPr>
          <w:rFonts w:hint="eastAsia" w:ascii="黑体" w:hAnsi="宋体" w:eastAsia="黑体"/>
          <w:sz w:val="32"/>
          <w:szCs w:val="32"/>
        </w:rPr>
        <w:t>第二十八条</w:t>
      </w:r>
      <w:r>
        <w:rPr>
          <w:rFonts w:hint="eastAsia" w:ascii="仿宋_GB2312" w:hAnsi="宋体" w:eastAsia="仿宋_GB2312"/>
          <w:sz w:val="32"/>
          <w:szCs w:val="32"/>
        </w:rPr>
        <w:t xml:space="preserve">  受赠单位未按照规定办理备案和确认手续的，由侨务行政主管部门责令限期补办；逾期不补办的，由侨务行政主管部门提请其主管部门依法追究单位负责人和直接责任人的行政责任。</w:t>
      </w:r>
    </w:p>
    <w:p>
      <w:pPr>
        <w:adjustRightInd w:val="0"/>
        <w:snapToGrid w:val="0"/>
        <w:spacing w:line="585" w:lineRule="atLeast"/>
        <w:ind w:firstLine="634" w:firstLineChars="198"/>
        <w:rPr>
          <w:rFonts w:hint="eastAsia" w:ascii="仿宋_GB2312" w:hAnsi="宋体" w:eastAsia="仿宋_GB2312"/>
          <w:sz w:val="32"/>
          <w:szCs w:val="32"/>
        </w:rPr>
      </w:pPr>
      <w:r>
        <w:rPr>
          <w:rFonts w:hint="eastAsia" w:ascii="黑体" w:hAnsi="宋体" w:eastAsia="黑体"/>
          <w:sz w:val="32"/>
          <w:szCs w:val="32"/>
        </w:rPr>
        <w:t>第二十九条</w:t>
      </w:r>
      <w:r>
        <w:rPr>
          <w:rFonts w:hint="eastAsia" w:ascii="仿宋_GB2312" w:hAnsi="宋体" w:eastAsia="仿宋_GB2312"/>
          <w:sz w:val="32"/>
          <w:szCs w:val="32"/>
        </w:rPr>
        <w:t xml:space="preserve">  假借捐赠名义进行逃汇、套汇、逃税、走私以及擅自将捐赠进口物资转让等违法活动的，由有关部门依法处理；构成犯罪的，依法追究刑事责任。</w:t>
      </w:r>
    </w:p>
    <w:p>
      <w:pPr>
        <w:adjustRightInd w:val="0"/>
        <w:snapToGrid w:val="0"/>
        <w:spacing w:line="585" w:lineRule="atLeast"/>
        <w:ind w:firstLine="640" w:firstLineChars="200"/>
        <w:rPr>
          <w:rFonts w:hint="eastAsia" w:ascii="仿宋_GB2312" w:hAnsi="宋体" w:eastAsia="仿宋_GB2312"/>
          <w:sz w:val="32"/>
          <w:szCs w:val="32"/>
        </w:rPr>
      </w:pPr>
      <w:r>
        <w:rPr>
          <w:rFonts w:hint="eastAsia" w:ascii="黑体" w:hAnsi="宋体" w:eastAsia="黑体"/>
          <w:sz w:val="32"/>
          <w:szCs w:val="32"/>
        </w:rPr>
        <w:t>第三十条</w:t>
      </w:r>
      <w:r>
        <w:rPr>
          <w:rFonts w:hint="eastAsia" w:ascii="仿宋_GB2312" w:hAnsi="宋体" w:eastAsia="仿宋_GB2312"/>
          <w:sz w:val="32"/>
          <w:szCs w:val="32"/>
        </w:rPr>
        <w:t xml:space="preserve">  挪用、侵占、贪污、盗窃捐赠款物，由其所在单位或者主管部门给予行政处分，并追缴款物；构成犯罪的，依法追究刑事责任。</w:t>
      </w:r>
    </w:p>
    <w:p>
      <w:pPr>
        <w:adjustRightInd w:val="0"/>
        <w:snapToGrid w:val="0"/>
        <w:spacing w:line="585" w:lineRule="atLeast"/>
        <w:ind w:firstLine="640" w:firstLineChars="200"/>
        <w:rPr>
          <w:rFonts w:hint="eastAsia" w:ascii="仿宋_GB2312" w:hAnsi="宋体" w:eastAsia="仿宋_GB2312"/>
          <w:sz w:val="32"/>
          <w:szCs w:val="32"/>
        </w:rPr>
      </w:pPr>
      <w:r>
        <w:rPr>
          <w:rFonts w:hint="eastAsia" w:ascii="仿宋_GB2312" w:hAnsi="宋体" w:eastAsia="仿宋_GB2312"/>
          <w:sz w:val="32"/>
          <w:szCs w:val="32"/>
        </w:rPr>
        <w:t>依前款追缴的款物，应当用于原捐赠的用途和目的。</w:t>
      </w:r>
    </w:p>
    <w:p>
      <w:pPr>
        <w:adjustRightInd w:val="0"/>
        <w:snapToGrid w:val="0"/>
        <w:spacing w:line="585" w:lineRule="atLeast"/>
        <w:ind w:firstLine="640" w:firstLineChars="200"/>
        <w:rPr>
          <w:rFonts w:hint="eastAsia" w:ascii="仿宋_GB2312" w:hAnsi="宋体" w:eastAsia="仿宋_GB2312"/>
          <w:sz w:val="32"/>
          <w:szCs w:val="32"/>
        </w:rPr>
      </w:pPr>
      <w:r>
        <w:rPr>
          <w:rFonts w:hint="eastAsia" w:ascii="黑体" w:hAnsi="宋体" w:eastAsia="黑体"/>
          <w:sz w:val="32"/>
          <w:szCs w:val="32"/>
        </w:rPr>
        <w:t>第三十一条</w:t>
      </w:r>
      <w:r>
        <w:rPr>
          <w:rFonts w:hint="eastAsia" w:ascii="仿宋_GB2312" w:hAnsi="宋体" w:eastAsia="仿宋_GB2312"/>
          <w:sz w:val="32"/>
          <w:szCs w:val="32"/>
        </w:rPr>
        <w:t xml:space="preserve">  国家机关工作人员违反本条例，滥用职权，玩忽职守，徇私舞弊的，给予行政处分；构成犯罪的，依法追究刑事责任。</w:t>
      </w:r>
    </w:p>
    <w:p>
      <w:pPr>
        <w:adjustRightInd w:val="0"/>
        <w:snapToGrid w:val="0"/>
        <w:spacing w:line="585" w:lineRule="atLeast"/>
        <w:ind w:firstLine="640" w:firstLineChars="200"/>
        <w:rPr>
          <w:rFonts w:hint="eastAsia" w:ascii="仿宋_GB2312" w:hAnsi="宋体"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5" w:lineRule="atLeast"/>
        <w:ind w:left="0" w:leftChars="0" w:right="0" w:rightChars="0" w:firstLine="0" w:firstLineChars="0"/>
        <w:jc w:val="center"/>
        <w:textAlignment w:val="auto"/>
        <w:outlineLvl w:val="9"/>
        <w:rPr>
          <w:rFonts w:hint="eastAsia" w:ascii="黑体" w:hAnsi="宋体" w:eastAsia="黑体"/>
          <w:sz w:val="32"/>
          <w:szCs w:val="32"/>
        </w:rPr>
      </w:pPr>
      <w:r>
        <w:rPr>
          <w:rFonts w:hint="eastAsia" w:ascii="黑体" w:hAnsi="宋体" w:eastAsia="黑体"/>
          <w:sz w:val="32"/>
          <w:szCs w:val="32"/>
        </w:rPr>
        <w:t>第五章</w:t>
      </w:r>
      <w:r>
        <w:rPr>
          <w:rFonts w:hint="eastAsia" w:ascii="黑体" w:hAnsi="宋体" w:eastAsia="黑体"/>
          <w:sz w:val="32"/>
          <w:szCs w:val="32"/>
          <w:lang w:val="en-US" w:eastAsia="zh-CN"/>
        </w:rPr>
        <w:t xml:space="preserve">  </w:t>
      </w:r>
      <w:r>
        <w:rPr>
          <w:rFonts w:hint="eastAsia" w:ascii="黑体" w:hAnsi="宋体" w:eastAsia="黑体"/>
          <w:sz w:val="32"/>
          <w:szCs w:val="32"/>
        </w:rPr>
        <w:t>附</w:t>
      </w:r>
      <w:r>
        <w:rPr>
          <w:rFonts w:hint="eastAsia" w:ascii="黑体" w:hAnsi="宋体" w:eastAsia="黑体"/>
          <w:sz w:val="32"/>
          <w:szCs w:val="32"/>
          <w:lang w:val="en-US" w:eastAsia="zh-CN"/>
        </w:rPr>
        <w:t xml:space="preserve">    </w:t>
      </w:r>
      <w:r>
        <w:rPr>
          <w:rFonts w:hint="eastAsia" w:ascii="黑体" w:hAnsi="宋体" w:eastAsia="黑体"/>
          <w:sz w:val="32"/>
          <w:szCs w:val="32"/>
        </w:rPr>
        <w:t>则</w:t>
      </w:r>
    </w:p>
    <w:p>
      <w:pPr>
        <w:adjustRightInd w:val="0"/>
        <w:snapToGrid w:val="0"/>
        <w:spacing w:line="585" w:lineRule="atLeast"/>
        <w:jc w:val="center"/>
        <w:rPr>
          <w:rFonts w:hint="eastAsia" w:ascii="仿宋_GB2312" w:hAnsi="宋体" w:eastAsia="仿宋_GB2312"/>
          <w:sz w:val="32"/>
          <w:szCs w:val="32"/>
        </w:rPr>
      </w:pPr>
    </w:p>
    <w:p>
      <w:pPr>
        <w:adjustRightInd w:val="0"/>
        <w:snapToGrid w:val="0"/>
        <w:spacing w:line="585" w:lineRule="atLeast"/>
        <w:ind w:firstLine="640" w:firstLineChars="200"/>
        <w:rPr>
          <w:rFonts w:hint="eastAsia" w:ascii="仿宋_GB2312" w:hAnsi="宋体" w:eastAsia="仿宋_GB2312"/>
          <w:sz w:val="32"/>
          <w:szCs w:val="32"/>
        </w:rPr>
      </w:pPr>
      <w:r>
        <w:rPr>
          <w:rFonts w:hint="eastAsia" w:ascii="黑体" w:hAnsi="宋体" w:eastAsia="黑体"/>
          <w:sz w:val="32"/>
          <w:szCs w:val="32"/>
        </w:rPr>
        <w:t>第三十二条</w:t>
      </w:r>
      <w:r>
        <w:rPr>
          <w:rFonts w:hint="eastAsia" w:ascii="仿宋_GB2312" w:hAnsi="宋体" w:eastAsia="仿宋_GB2312"/>
          <w:sz w:val="32"/>
          <w:szCs w:val="32"/>
        </w:rPr>
        <w:t xml:space="preserve">  香港、澳门同胞及外籍华人在本市行政区域内捐赠兴办公益事业，参照本条例执行。</w:t>
      </w:r>
    </w:p>
    <w:p>
      <w:pPr>
        <w:adjustRightInd w:val="0"/>
        <w:snapToGrid w:val="0"/>
        <w:spacing w:line="585" w:lineRule="atLeast"/>
        <w:ind w:firstLine="640" w:firstLineChars="200"/>
        <w:rPr>
          <w:rFonts w:hint="eastAsia" w:ascii="仿宋_GB2312" w:hAnsi="宋体" w:eastAsia="仿宋_GB2312"/>
          <w:sz w:val="32"/>
          <w:szCs w:val="32"/>
        </w:rPr>
      </w:pPr>
      <w:r>
        <w:rPr>
          <w:rFonts w:hint="eastAsia" w:ascii="黑体" w:hAnsi="宋体" w:eastAsia="黑体"/>
          <w:sz w:val="32"/>
          <w:szCs w:val="32"/>
        </w:rPr>
        <w:t>第三十三条</w:t>
      </w:r>
      <w:r>
        <w:rPr>
          <w:rFonts w:hint="eastAsia" w:ascii="仿宋_GB2312" w:hAnsi="宋体" w:eastAsia="仿宋_GB2312"/>
          <w:sz w:val="32"/>
          <w:szCs w:val="32"/>
        </w:rPr>
        <w:t xml:space="preserve">  本条例的具体应用问题由厦门市人民政府负责解释。</w:t>
      </w:r>
    </w:p>
    <w:p>
      <w:pPr>
        <w:adjustRightInd w:val="0"/>
        <w:snapToGrid w:val="0"/>
        <w:spacing w:line="585" w:lineRule="atLeast"/>
        <w:ind w:firstLine="640" w:firstLineChars="200"/>
        <w:rPr>
          <w:rFonts w:hint="eastAsia"/>
          <w:lang w:eastAsia="zh-CN"/>
        </w:rPr>
      </w:pPr>
      <w:r>
        <w:rPr>
          <w:rFonts w:hint="eastAsia" w:ascii="黑体" w:hAnsi="宋体" w:eastAsia="黑体"/>
          <w:sz w:val="32"/>
          <w:szCs w:val="32"/>
        </w:rPr>
        <w:t>第三十四条</w:t>
      </w:r>
      <w:r>
        <w:rPr>
          <w:rFonts w:hint="eastAsia" w:ascii="仿宋_GB2312" w:hAnsi="宋体" w:eastAsia="仿宋_GB2312"/>
          <w:sz w:val="32"/>
          <w:szCs w:val="32"/>
        </w:rPr>
        <w:t xml:space="preserve">  本条例自公布之日起施行。</w:t>
      </w:r>
      <w:bookmarkStart w:id="0" w:name="_GoBack"/>
      <w:bookmarkEnd w:id="0"/>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5F52F8B"/>
    <w:rsid w:val="0BB7528F"/>
    <w:rsid w:val="11621F6A"/>
    <w:rsid w:val="13D32B24"/>
    <w:rsid w:val="14704D28"/>
    <w:rsid w:val="14DF1382"/>
    <w:rsid w:val="1EA33493"/>
    <w:rsid w:val="23364216"/>
    <w:rsid w:val="23DB78BE"/>
    <w:rsid w:val="271E2FC5"/>
    <w:rsid w:val="273E4908"/>
    <w:rsid w:val="2B163808"/>
    <w:rsid w:val="35FF24AD"/>
    <w:rsid w:val="3B376E18"/>
    <w:rsid w:val="3BE85E9A"/>
    <w:rsid w:val="4518300C"/>
    <w:rsid w:val="465A1F42"/>
    <w:rsid w:val="4AD92A82"/>
    <w:rsid w:val="533D7A46"/>
    <w:rsid w:val="53790912"/>
    <w:rsid w:val="667D2408"/>
    <w:rsid w:val="6808010B"/>
    <w:rsid w:val="70FC57B5"/>
    <w:rsid w:val="744A5E51"/>
    <w:rsid w:val="75412F36"/>
    <w:rsid w:val="7AB2498F"/>
    <w:rsid w:val="7DD523F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kern w:val="44"/>
      <w:sz w:val="44"/>
    </w:rPr>
  </w:style>
  <w:style w:type="character" w:customStyle="1" w:styleId="10">
    <w:name w:val="txtlmbt1"/>
    <w:basedOn w:val="7"/>
    <w:qFormat/>
    <w:uiPriority w:val="0"/>
    <w:rPr>
      <w:b/>
      <w:spacing w:val="90"/>
      <w:sz w:val="27"/>
    </w:rPr>
  </w:style>
  <w:style w:type="paragraph" w:customStyle="1" w:styleId="11">
    <w:name w:val="Normal (Web)"/>
    <w:basedOn w:val="1"/>
    <w:qFormat/>
    <w:uiPriority w:val="0"/>
    <w:pPr>
      <w:widowControl/>
      <w:spacing w:before="100" w:beforeLines="0" w:beforeAutospacing="1" w:after="100" w:afterLines="0" w:afterAutospacing="1"/>
      <w:jc w:val="left"/>
    </w:pPr>
    <w:rPr>
      <w:rFonts w:ascii="宋体" w:hAnsi="宋体"/>
      <w:kern w:val="0"/>
      <w:sz w:val="24"/>
    </w:rPr>
  </w:style>
  <w:style w:type="paragraph" w:customStyle="1" w:styleId="12">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3">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2017-02-14T03:52:25Z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