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eastAsia="宋体" w:cs="宋体"/>
          <w:kern w:val="0"/>
          <w:sz w:val="44"/>
          <w:szCs w:val="44"/>
        </w:rPr>
      </w:pPr>
      <w:bookmarkStart w:id="0" w:name="_GoBack"/>
    </w:p>
    <w:p>
      <w:pPr>
        <w:spacing w:line="580" w:lineRule="exact"/>
        <w:jc w:val="center"/>
        <w:rPr>
          <w:rFonts w:hint="eastAsia" w:ascii="宋体" w:hAnsi="宋体" w:eastAsia="宋体" w:cs="宋体"/>
          <w:kern w:val="0"/>
          <w:sz w:val="44"/>
          <w:szCs w:val="44"/>
        </w:rPr>
      </w:pPr>
    </w:p>
    <w:p>
      <w:pPr>
        <w:spacing w:line="580" w:lineRule="exact"/>
        <w:jc w:val="center"/>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吉安市立法条例</w:t>
      </w:r>
    </w:p>
    <w:p>
      <w:pPr>
        <w:spacing w:line="580" w:lineRule="exact"/>
        <w:rPr>
          <w:rFonts w:hint="eastAsia" w:ascii="方正小标宋简体" w:hAnsi="方正小标宋简体" w:eastAsia="方正小标宋简体" w:cs="方正小标宋简体"/>
          <w:kern w:val="0"/>
          <w:sz w:val="44"/>
          <w:szCs w:val="44"/>
        </w:rPr>
      </w:pPr>
    </w:p>
    <w:p>
      <w:pPr>
        <w:widowControl w:val="0"/>
        <w:wordWrap/>
        <w:adjustRightInd w:val="0"/>
        <w:snapToGrid w:val="0"/>
        <w:spacing w:line="594" w:lineRule="exact"/>
        <w:ind w:left="0" w:leftChars="0" w:right="420" w:rightChars="200" w:firstLine="640" w:firstLineChars="200"/>
        <w:jc w:val="both"/>
        <w:textAlignment w:val="auto"/>
        <w:outlineLvl w:val="9"/>
        <w:rPr>
          <w:rFonts w:hint="eastAsia" w:ascii="楷体_GB2312" w:hAnsi="黑体" w:eastAsia="楷体_GB2312" w:cs="黑体"/>
          <w:kern w:val="0"/>
          <w:sz w:val="32"/>
          <w:szCs w:val="32"/>
        </w:rPr>
      </w:pPr>
      <w:r>
        <w:rPr>
          <w:rFonts w:hint="eastAsia" w:ascii="楷体_GB2312" w:hAnsi="黑体" w:eastAsia="楷体_GB2312" w:cs="黑体"/>
          <w:kern w:val="0"/>
          <w:sz w:val="32"/>
          <w:szCs w:val="32"/>
        </w:rPr>
        <w:t>（2016年11月4日吉安市第四届人民代表大会第一</w:t>
      </w:r>
    </w:p>
    <w:p>
      <w:pPr>
        <w:widowControl w:val="0"/>
        <w:wordWrap/>
        <w:adjustRightInd w:val="0"/>
        <w:snapToGrid w:val="0"/>
        <w:spacing w:line="594" w:lineRule="exact"/>
        <w:ind w:left="0" w:leftChars="0" w:right="420" w:rightChars="200" w:firstLine="640" w:firstLineChars="200"/>
        <w:jc w:val="both"/>
        <w:textAlignment w:val="auto"/>
        <w:outlineLvl w:val="9"/>
        <w:rPr>
          <w:rFonts w:hint="eastAsia" w:ascii="楷体_GB2312" w:hAnsi="黑体" w:eastAsia="楷体_GB2312" w:cs="黑体"/>
          <w:kern w:val="0"/>
          <w:sz w:val="32"/>
          <w:szCs w:val="32"/>
        </w:rPr>
      </w:pPr>
      <w:r>
        <w:rPr>
          <w:rFonts w:hint="eastAsia" w:ascii="楷体_GB2312" w:hAnsi="黑体" w:eastAsia="楷体_GB2312" w:cs="黑体"/>
          <w:kern w:val="0"/>
          <w:sz w:val="32"/>
          <w:szCs w:val="32"/>
        </w:rPr>
        <w:t>次会议通过</w:t>
      </w:r>
      <w:r>
        <w:rPr>
          <w:rFonts w:hint="eastAsia" w:ascii="楷体_GB2312" w:hAnsi="黑体" w:eastAsia="楷体_GB2312" w:cs="黑体"/>
          <w:kern w:val="0"/>
          <w:sz w:val="32"/>
          <w:szCs w:val="32"/>
          <w:lang w:val="en-US" w:eastAsia="zh-CN"/>
        </w:rPr>
        <w:t xml:space="preserve">  </w:t>
      </w:r>
      <w:r>
        <w:rPr>
          <w:rFonts w:hint="eastAsia" w:ascii="楷体_GB2312" w:hAnsi="黑体" w:eastAsia="楷体_GB2312" w:cs="黑体"/>
          <w:kern w:val="0"/>
          <w:sz w:val="32"/>
          <w:szCs w:val="32"/>
        </w:rPr>
        <w:t>201</w:t>
      </w:r>
      <w:r>
        <w:rPr>
          <w:rFonts w:hint="eastAsia" w:ascii="楷体_GB2312" w:hAnsi="黑体" w:eastAsia="楷体_GB2312" w:cs="黑体"/>
          <w:kern w:val="0"/>
          <w:sz w:val="32"/>
          <w:szCs w:val="32"/>
          <w:lang w:val="en-US" w:eastAsia="zh-CN"/>
        </w:rPr>
        <w:t>7</w:t>
      </w:r>
      <w:r>
        <w:rPr>
          <w:rFonts w:hint="eastAsia" w:ascii="楷体_GB2312" w:hAnsi="黑体" w:eastAsia="楷体_GB2312" w:cs="黑体"/>
          <w:kern w:val="0"/>
          <w:sz w:val="32"/>
          <w:szCs w:val="32"/>
        </w:rPr>
        <w:t>年</w:t>
      </w:r>
      <w:r>
        <w:rPr>
          <w:rFonts w:hint="eastAsia" w:ascii="楷体_GB2312" w:hAnsi="黑体" w:eastAsia="楷体_GB2312" w:cs="黑体"/>
          <w:kern w:val="0"/>
          <w:sz w:val="32"/>
          <w:szCs w:val="32"/>
          <w:lang w:val="en-US" w:eastAsia="zh-CN"/>
        </w:rPr>
        <w:t>3</w:t>
      </w:r>
      <w:r>
        <w:rPr>
          <w:rFonts w:hint="eastAsia" w:ascii="楷体_GB2312" w:hAnsi="黑体" w:eastAsia="楷体_GB2312" w:cs="黑体"/>
          <w:kern w:val="0"/>
          <w:sz w:val="32"/>
          <w:szCs w:val="32"/>
        </w:rPr>
        <w:t>月</w:t>
      </w:r>
      <w:r>
        <w:rPr>
          <w:rFonts w:hint="eastAsia" w:ascii="楷体_GB2312" w:hAnsi="黑体" w:eastAsia="楷体_GB2312" w:cs="黑体"/>
          <w:kern w:val="0"/>
          <w:sz w:val="32"/>
          <w:szCs w:val="32"/>
          <w:lang w:val="en-US" w:eastAsia="zh-CN"/>
        </w:rPr>
        <w:t>21</w:t>
      </w:r>
      <w:r>
        <w:rPr>
          <w:rFonts w:hint="eastAsia" w:ascii="楷体_GB2312" w:hAnsi="黑体" w:eastAsia="楷体_GB2312" w:cs="黑体"/>
          <w:kern w:val="0"/>
          <w:sz w:val="32"/>
          <w:szCs w:val="32"/>
        </w:rPr>
        <w:t>日江西省第十二届人民</w:t>
      </w:r>
    </w:p>
    <w:p>
      <w:pPr>
        <w:widowControl w:val="0"/>
        <w:wordWrap/>
        <w:adjustRightInd w:val="0"/>
        <w:snapToGrid w:val="0"/>
        <w:spacing w:line="594" w:lineRule="exact"/>
        <w:ind w:left="0" w:leftChars="0" w:right="420" w:rightChars="200" w:firstLine="640" w:firstLineChars="200"/>
        <w:jc w:val="both"/>
        <w:textAlignment w:val="auto"/>
        <w:outlineLvl w:val="9"/>
        <w:rPr>
          <w:rFonts w:hint="eastAsia" w:ascii="楷体_GB2312" w:hAnsi="黑体" w:eastAsia="楷体_GB2312" w:cs="黑体"/>
          <w:kern w:val="0"/>
          <w:sz w:val="32"/>
          <w:szCs w:val="32"/>
        </w:rPr>
      </w:pPr>
      <w:r>
        <w:rPr>
          <w:rFonts w:hint="eastAsia" w:ascii="楷体_GB2312" w:hAnsi="黑体" w:eastAsia="楷体_GB2312" w:cs="黑体"/>
          <w:kern w:val="0"/>
          <w:sz w:val="32"/>
          <w:szCs w:val="32"/>
        </w:rPr>
        <w:t>代表大会常务委员会第</w:t>
      </w:r>
      <w:r>
        <w:rPr>
          <w:rFonts w:hint="eastAsia" w:ascii="楷体_GB2312" w:hAnsi="黑体" w:eastAsia="楷体_GB2312" w:cs="黑体"/>
          <w:kern w:val="0"/>
          <w:sz w:val="32"/>
          <w:szCs w:val="32"/>
          <w:lang w:val="en-US" w:eastAsia="zh-CN"/>
        </w:rPr>
        <w:t>三十二</w:t>
      </w:r>
      <w:r>
        <w:rPr>
          <w:rFonts w:hint="eastAsia" w:ascii="楷体_GB2312" w:hAnsi="黑体" w:eastAsia="楷体_GB2312" w:cs="黑体"/>
          <w:kern w:val="0"/>
          <w:sz w:val="32"/>
          <w:szCs w:val="32"/>
        </w:rPr>
        <w:t>次会议批准）</w:t>
      </w:r>
    </w:p>
    <w:p>
      <w:pPr>
        <w:widowControl w:val="0"/>
        <w:wordWrap/>
        <w:adjustRightInd w:val="0"/>
        <w:snapToGrid w:val="0"/>
        <w:spacing w:line="594" w:lineRule="exact"/>
        <w:ind w:left="0" w:leftChars="0"/>
        <w:jc w:val="center"/>
        <w:textAlignment w:val="auto"/>
        <w:outlineLvl w:val="9"/>
        <w:rPr>
          <w:rFonts w:hint="eastAsia" w:ascii="黑体" w:hAnsi="黑体" w:eastAsia="黑体" w:cs="黑体"/>
          <w:kern w:val="0"/>
          <w:sz w:val="32"/>
          <w:szCs w:val="32"/>
        </w:rPr>
      </w:pPr>
    </w:p>
    <w:p>
      <w:pPr>
        <w:widowControl w:val="0"/>
        <w:wordWrap/>
        <w:adjustRightInd w:val="0"/>
        <w:snapToGrid w:val="0"/>
        <w:spacing w:line="594" w:lineRule="exact"/>
        <w:ind w:left="0" w:lef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  录</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kern w:val="0"/>
          <w:sz w:val="32"/>
          <w:szCs w:val="32"/>
        </w:rPr>
        <w:t>第一章</w:t>
      </w:r>
      <w:r>
        <w:rPr>
          <w:rFonts w:hint="eastAsia" w:ascii="楷体_GB2312" w:hAnsi="楷体_GB2312" w:eastAsia="楷体_GB2312" w:cs="楷体_GB2312"/>
          <w:bCs/>
          <w:kern w:val="0"/>
          <w:sz w:val="32"/>
          <w:szCs w:val="32"/>
          <w:lang w:eastAsia="zh-CN"/>
        </w:rPr>
        <w:t>　</w:t>
      </w:r>
      <w:r>
        <w:rPr>
          <w:rFonts w:hint="eastAsia" w:ascii="楷体_GB2312" w:hAnsi="楷体_GB2312" w:eastAsia="楷体_GB2312" w:cs="楷体_GB2312"/>
          <w:bCs/>
          <w:kern w:val="0"/>
          <w:sz w:val="32"/>
          <w:szCs w:val="32"/>
        </w:rPr>
        <w:t>总则</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第二章  立法权限</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第三章  立法准备</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第四章  立法程序</w:t>
      </w:r>
    </w:p>
    <w:p>
      <w:pPr>
        <w:widowControl w:val="0"/>
        <w:wordWrap/>
        <w:adjustRightInd w:val="0"/>
        <w:snapToGrid w:val="0"/>
        <w:spacing w:line="594" w:lineRule="exact"/>
        <w:ind w:left="0" w:leftChars="0" w:firstLine="1264"/>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第一节 市人民代表大会立法程序</w:t>
      </w:r>
    </w:p>
    <w:p>
      <w:pPr>
        <w:widowControl w:val="0"/>
        <w:wordWrap/>
        <w:adjustRightInd w:val="0"/>
        <w:snapToGrid w:val="0"/>
        <w:spacing w:line="594" w:lineRule="exact"/>
        <w:ind w:left="0" w:leftChars="0" w:firstLine="1264"/>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第二节 市人民代表大会常务委员会立法程序</w:t>
      </w:r>
    </w:p>
    <w:p>
      <w:pPr>
        <w:widowControl w:val="0"/>
        <w:wordWrap/>
        <w:adjustRightInd w:val="0"/>
        <w:snapToGrid w:val="0"/>
        <w:spacing w:line="594" w:lineRule="exact"/>
        <w:ind w:left="0" w:leftChars="0" w:firstLine="1264"/>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第三节 报请批准与公布</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第五章</w:t>
      </w:r>
      <w:r>
        <w:rPr>
          <w:rFonts w:hint="eastAsia" w:ascii="楷体_GB2312" w:hAnsi="楷体_GB2312" w:eastAsia="楷体_GB2312" w:cs="楷体_GB2312"/>
          <w:bCs/>
          <w:kern w:val="0"/>
          <w:sz w:val="32"/>
          <w:szCs w:val="32"/>
          <w:lang w:eastAsia="zh-CN"/>
        </w:rPr>
        <w:t>　</w:t>
      </w:r>
      <w:r>
        <w:rPr>
          <w:rFonts w:hint="eastAsia" w:ascii="楷体_GB2312" w:hAnsi="楷体_GB2312" w:eastAsia="楷体_GB2312" w:cs="楷体_GB2312"/>
          <w:bCs/>
          <w:kern w:val="0"/>
          <w:sz w:val="32"/>
          <w:szCs w:val="32"/>
        </w:rPr>
        <w:t>法规解释</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第六章  其他规定</w:t>
      </w:r>
    </w:p>
    <w:p>
      <w:pPr>
        <w:widowControl w:val="0"/>
        <w:wordWrap/>
        <w:adjustRightInd w:val="0"/>
        <w:snapToGrid w:val="0"/>
        <w:spacing w:line="594" w:lineRule="exact"/>
        <w:ind w:left="0" w:leftChars="0" w:firstLine="640" w:firstLineChars="200"/>
        <w:jc w:val="left"/>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第七章  附则</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为了规范本市立法活动，</w:t>
      </w:r>
      <w:r>
        <w:rPr>
          <w:rFonts w:hint="eastAsia" w:ascii="仿宋_GB2312" w:hAnsi="仿宋_GB2312" w:eastAsia="仿宋_GB2312" w:cs="仿宋_GB2312"/>
          <w:kern w:val="0"/>
          <w:sz w:val="32"/>
          <w:szCs w:val="32"/>
        </w:rPr>
        <w:t>健全立法制度，提高立法质量，发挥立法的引领和推动作用，全面推进依法治市，建设法治吉安，根据《</w:t>
      </w:r>
      <w:r>
        <w:rPr>
          <w:rFonts w:hint="eastAsia" w:ascii="仿宋_GB2312" w:hAnsi="宋体" w:eastAsia="仿宋_GB2312" w:cs="黑体"/>
          <w:kern w:val="0"/>
          <w:sz w:val="32"/>
          <w:szCs w:val="32"/>
        </w:rPr>
        <w:t>中华人民共和国</w:t>
      </w:r>
      <w:r>
        <w:rPr>
          <w:rFonts w:hint="eastAsia" w:ascii="仿宋_GB2312" w:hAnsi="宋体" w:eastAsia="仿宋_GB2312" w:cs="仿宋_GB2312"/>
          <w:kern w:val="0"/>
          <w:sz w:val="32"/>
          <w:szCs w:val="32"/>
        </w:rPr>
        <w:t>立法法</w:t>
      </w:r>
      <w:r>
        <w:rPr>
          <w:rFonts w:hint="eastAsia" w:ascii="仿宋_GB2312" w:hAnsi="仿宋_GB2312" w:eastAsia="仿宋_GB2312" w:cs="仿宋_GB2312"/>
          <w:kern w:val="0"/>
          <w:sz w:val="32"/>
          <w:szCs w:val="32"/>
        </w:rPr>
        <w:t>》《江西省立法条例》和有关法律、法规</w:t>
      </w:r>
      <w:r>
        <w:rPr>
          <w:rFonts w:hint="eastAsia" w:ascii="仿宋_GB2312" w:hAnsi="仿宋_GB2312" w:eastAsia="仿宋_GB2312" w:cs="仿宋_GB2312"/>
          <w:sz w:val="32"/>
          <w:szCs w:val="32"/>
        </w:rPr>
        <w:t>，结合本市实际，制定本条例。</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市人民代表大会及其常务委员会制定、修改和废止地方性法规，适用本条例。</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制定地方性法规应当遵循《中华人民共和国立法法》规定的立法原则，不得与上位法相抵触，对上位法已经明确规定的内容，一般不作重复性规定。</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法规规范应当明确、具体，突出地方特色，具有针对性和可执行性。</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市人民代表大会及其常务委员会加强对立法工作的组织协调，发挥在立法工作中的主导作用。</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立法权限</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市人民代表大会及其常务委员会可以根据下列需要，对城乡建设与管理、环境保护、历史文化保护等方面的事项制定地方性法规：</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（一）为执行上位法的规定，需要根据本市实际情况作具体规定的事项；</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（二）国家、省尚未制定相关的法律、法规，需要根据本市实际情况先行制定地方性法规的事项；</w:t>
      </w:r>
    </w:p>
    <w:p>
      <w:pPr>
        <w:widowControl w:val="0"/>
        <w:wordWrap/>
        <w:adjustRightInd w:val="0"/>
        <w:snapToGrid w:val="0"/>
        <w:spacing w:line="594" w:lineRule="exact"/>
        <w:ind w:left="0" w:leftChars="0" w:firstLine="600" w:firstLineChars="200"/>
        <w:textAlignment w:val="auto"/>
        <w:outlineLvl w:val="9"/>
        <w:rPr>
          <w:rFonts w:hint="eastAsia" w:ascii="仿宋_GB2312" w:hAnsi="仿宋_GB2312" w:eastAsia="仿宋_GB2312" w:cs="仿宋_GB2312"/>
          <w:spacing w:val="-10"/>
          <w:sz w:val="32"/>
          <w:szCs w:val="32"/>
        </w:rPr>
      </w:pPr>
      <w:r>
        <w:rPr>
          <w:rFonts w:hint="eastAsia" w:ascii="仿宋_GB2312" w:hAnsi="仿宋_GB2312" w:eastAsia="仿宋_GB2312" w:cs="仿宋_GB2312"/>
          <w:spacing w:val="-10"/>
          <w:sz w:val="32"/>
          <w:szCs w:val="32"/>
        </w:rPr>
        <w:t>（三）属于本市地方性事务，需要制定地方性法规的事项。</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w:t>
      </w:r>
      <w:r>
        <w:rPr>
          <w:rFonts w:hint="eastAsia" w:ascii="仿宋_GB2312" w:hAnsi="仿宋_GB2312" w:eastAsia="仿宋_GB2312" w:cs="仿宋_GB2312"/>
          <w:spacing w:val="-8"/>
          <w:sz w:val="32"/>
          <w:szCs w:val="32"/>
        </w:rPr>
        <w:t>律对设区的市制定地方性法规的事项另有规定的，从其规定</w:t>
      </w:r>
      <w:r>
        <w:rPr>
          <w:rFonts w:hint="eastAsia" w:ascii="仿宋_GB2312" w:hAnsi="仿宋_GB2312" w:eastAsia="仿宋_GB2312" w:cs="仿宋_GB2312"/>
          <w:sz w:val="32"/>
          <w:szCs w:val="32"/>
        </w:rPr>
        <w:t>。</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在本市立法权限内，下列事项由市人民代表大会制定地方性法规：</w:t>
      </w:r>
      <w:r>
        <w:rPr>
          <w:rFonts w:hint="eastAsia" w:ascii="宋体" w:hAnsi="宋体" w:cs="宋体"/>
          <w:sz w:val="32"/>
          <w:szCs w:val="32"/>
        </w:rPr>
        <w:t> </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（一）上位法规定应当由市人民代表大会制定地方性法规的事项；</w:t>
      </w:r>
      <w:r>
        <w:rPr>
          <w:rFonts w:hint="eastAsia" w:ascii="宋体" w:hAnsi="宋体" w:cs="宋体"/>
          <w:sz w:val="32"/>
          <w:szCs w:val="32"/>
        </w:rPr>
        <w:t> </w:t>
      </w:r>
    </w:p>
    <w:p>
      <w:pPr>
        <w:widowControl w:val="0"/>
        <w:wordWrap/>
        <w:adjustRightInd w:val="0"/>
        <w:snapToGrid w:val="0"/>
        <w:spacing w:line="594" w:lineRule="exact"/>
        <w:ind w:left="0" w:lef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w:t>
      </w:r>
      <w:r>
        <w:rPr>
          <w:rFonts w:hint="eastAsia" w:ascii="仿宋_GB2312" w:hAnsi="仿宋_GB2312" w:eastAsia="仿宋_GB2312" w:cs="仿宋_GB2312"/>
          <w:spacing w:val="-4"/>
          <w:sz w:val="32"/>
          <w:szCs w:val="32"/>
        </w:rPr>
        <w:t>二）</w:t>
      </w:r>
      <w:r>
        <w:rPr>
          <w:rFonts w:hint="eastAsia" w:ascii="仿宋_GB2312" w:eastAsia="仿宋_GB2312"/>
          <w:spacing w:val="-4"/>
          <w:sz w:val="32"/>
          <w:szCs w:val="32"/>
        </w:rPr>
        <w:t>涉及市人民代表大会及其常务委员会立法程序的事项</w:t>
      </w:r>
      <w:r>
        <w:rPr>
          <w:rFonts w:hint="eastAsia" w:ascii="仿宋_GB2312" w:hAnsi="仿宋_GB2312" w:eastAsia="仿宋_GB2312" w:cs="仿宋_GB2312"/>
          <w:spacing w:val="-4"/>
          <w:sz w:val="32"/>
          <w:szCs w:val="32"/>
        </w:rPr>
        <w:t>；</w:t>
      </w:r>
      <w:r>
        <w:rPr>
          <w:rFonts w:hint="eastAsia" w:ascii="宋体" w:hAnsi="宋体" w:cs="宋体"/>
          <w:spacing w:val="-4"/>
          <w:sz w:val="32"/>
          <w:szCs w:val="32"/>
        </w:rPr>
        <w:t> </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（三）其他需要提请市人民代表大会制定地方性法规的特别重大事项。</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在本市立法权限内，市人民代表大会常务委员会制定除应当由市人民代表大会制定地方性法规以外的其他地方性法规。</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常务委员会在市人民代表大会闭会期间，可以对市人民代表大会制定的地方性法规进行部分补充和修改，但不得与该地方性法规的基本原则相抵触。</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line="594" w:lineRule="exact"/>
        <w:ind w:left="0" w:leftChars="0" w:right="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line="594"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立法准备</w:t>
      </w:r>
    </w:p>
    <w:p>
      <w:pPr>
        <w:widowControl w:val="0"/>
        <w:wordWrap/>
        <w:adjustRightInd w:val="0"/>
        <w:snapToGrid w:val="0"/>
        <w:spacing w:line="594" w:lineRule="exact"/>
        <w:ind w:left="0" w:leftChars="0" w:right="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常务委员会通过立法规划项目库、年度立法计划等形式，加强对立法工作的统筹安排。</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常务委员会法制工作机构负责编制立法规划项目库和拟订年度立法计划，并按照常务委员会的要求，督促立法规划项目库和年度立法计划的落实。</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常务委员会法制工作机构编制立法规划项目库和拟订年度立法计划，应当会同市人民代表大会专门委员会、常务委员会工作机构、市人民政府法制工作机构，认真研究代表议案和建议，广泛征集意见，科学论证评估，根据本市经济社会发展和民主法治建设的需要，确定立法项目，提高立法的及时性、针对性、系统性。</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年度立法计划应当与立法规划项目库相衔接。</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市人民政府的年度立法计划应当与常务委员会的年度立法计划相衔接。</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仿宋" w:eastAsia="仿宋_GB2312" w:cs="仿宋"/>
          <w:sz w:val="32"/>
          <w:szCs w:val="32"/>
        </w:rPr>
        <w:t>编制立法规划项目库和拟订年度立法计划前，应当通过新闻媒体等向社会公开征集立法建议项目。</w:t>
      </w:r>
    </w:p>
    <w:p>
      <w:pPr>
        <w:widowControl w:val="0"/>
        <w:wordWrap/>
        <w:adjustRightInd w:val="0"/>
        <w:snapToGrid w:val="0"/>
        <w:spacing w:line="594" w:lineRule="exact"/>
        <w:ind w:left="0" w:leftChars="0" w:firstLine="592" w:firstLineChars="200"/>
        <w:textAlignment w:val="auto"/>
        <w:outlineLvl w:val="9"/>
        <w:rPr>
          <w:rFonts w:hint="eastAsia" w:ascii="仿宋_GB2312" w:hAnsi="仿宋" w:eastAsia="仿宋_GB2312" w:cs="仿宋"/>
          <w:spacing w:val="-12"/>
          <w:sz w:val="32"/>
          <w:szCs w:val="32"/>
        </w:rPr>
      </w:pPr>
      <w:r>
        <w:rPr>
          <w:rFonts w:hint="eastAsia" w:ascii="仿宋_GB2312" w:hAnsi="仿宋" w:eastAsia="仿宋_GB2312" w:cs="仿宋"/>
          <w:spacing w:val="-12"/>
          <w:sz w:val="32"/>
          <w:szCs w:val="32"/>
        </w:rPr>
        <w:t>本市的国家机关、政党、社会团体、企事业单位、其他组织和公民可以向市人民代表大会及其常务委员会提出立法建议项目。</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 xml:space="preserve">立法建议项目应当写明地方性法规案名称、立法依据、立法的必要性和可行性、需要解决的主要问题和拟规范的主要内容等。有关机关、单位提出立法建议项目时，应当报送地方性法规建议稿。   </w:t>
      </w:r>
      <w:r>
        <w:rPr>
          <w:rFonts w:hint="eastAsia" w:ascii="仿宋_GB2312" w:hAnsi="仿宋_GB2312" w:eastAsia="仿宋_GB2312" w:cs="仿宋_GB2312"/>
          <w:kern w:val="0"/>
          <w:sz w:val="32"/>
          <w:szCs w:val="32"/>
        </w:rPr>
        <w:t xml:space="preserve">                                                                                                                </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立法规划项目库和年度立法计划在实施中可以根据实际情况进行调整。</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常务委员会法制工作机构应当根据专门委员会、常务委员会工作机构和有关方面的调整建议，提出意见，报请常务委员会主任会议决定。</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编制和调整立法规划项目库和年度立法计划，应当征求省人民代表大会常务委员会法制工作机构的意见，由市人民代表大会常务委员会主任会议通过，向社会公布，并报送省人民代表大会常务委员会。</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kern w:val="0"/>
          <w:sz w:val="32"/>
          <w:szCs w:val="32"/>
        </w:rPr>
        <w:t>　地方性</w:t>
      </w:r>
      <w:r>
        <w:rPr>
          <w:rFonts w:hint="eastAsia" w:ascii="仿宋_GB2312" w:hAnsi="宋体" w:eastAsia="仿宋_GB2312"/>
          <w:sz w:val="32"/>
          <w:szCs w:val="32"/>
        </w:rPr>
        <w:t>法规草案</w:t>
      </w:r>
      <w:r>
        <w:rPr>
          <w:rFonts w:hint="eastAsia" w:ascii="仿宋_GB2312" w:hAnsi="仿宋_GB2312" w:eastAsia="仿宋_GB2312" w:cs="仿宋_GB2312"/>
          <w:kern w:val="0"/>
          <w:sz w:val="32"/>
          <w:szCs w:val="32"/>
        </w:rPr>
        <w:t>一般由提请机关组织起草。</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综合性、全局性、基础性的重要地方性法规草案，由市人民政府法制工作机构组织起草，也可以由有关的专门委员会或者常务委员会工作机构组织起草。</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专业性较强的地方性法规草案，可以吸收相关领域的专家参与起草工作，或者委托有关专家、教学科研单位、社会组织等第三方起草。</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_GB2312" w:hAnsi="仿宋_GB2312" w:eastAsia="仿宋_GB2312" w:cs="仿宋_GB2312"/>
          <w:kern w:val="0"/>
          <w:sz w:val="32"/>
          <w:szCs w:val="32"/>
        </w:rPr>
        <w:t>　</w:t>
      </w:r>
      <w:r>
        <w:rPr>
          <w:rFonts w:hint="eastAsia" w:ascii="仿宋_GB2312" w:hAnsi="仿宋" w:eastAsia="仿宋_GB2312" w:cs="仿宋"/>
          <w:sz w:val="32"/>
          <w:szCs w:val="32"/>
        </w:rPr>
        <w:t>提</w:t>
      </w:r>
      <w:r>
        <w:rPr>
          <w:rFonts w:hint="eastAsia" w:ascii="仿宋_GB2312" w:hAnsi="仿宋" w:eastAsia="仿宋_GB2312" w:cs="仿宋"/>
          <w:spacing w:val="-4"/>
          <w:sz w:val="32"/>
          <w:szCs w:val="32"/>
        </w:rPr>
        <w:t>请机关应当成立地方性法规草案起草小组，及时制定工作方案，拟定起草进度，落实工作经费，并报送有关的专门委员会或者常务委员会工作机构。提请机关不能按照规定的时间提请审议地方性法规案，应当向主任会议作书面说明。</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有关的专门委员会和常务委员会工作机构应当提前参与有关方面的地方性法规草案的起草工作，根据需要，可以参与起草的调研论证，或者听取情况汇报，督促起草工作按期完成。必要时，可以邀请省人民代表大会有关的专门委员会或者常务委员会工作机构参与起草论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有关的专门委员会和常务委员会工作机构组织起草的地方性法规草案，应当征求市人民政府和其他有关机关、组织的意见。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仿宋_GB2312" w:eastAsia="仿宋_GB2312" w:cs="仿宋_GB2312"/>
          <w:kern w:val="0"/>
          <w:sz w:val="32"/>
          <w:szCs w:val="32"/>
        </w:rPr>
        <w:t>　</w:t>
      </w:r>
      <w:r>
        <w:rPr>
          <w:rFonts w:hint="eastAsia" w:ascii="仿宋_GB2312" w:hAnsi="仿宋" w:eastAsia="仿宋_GB2312" w:cs="仿宋"/>
          <w:sz w:val="32"/>
          <w:szCs w:val="32"/>
        </w:rPr>
        <w:t>起草地方性法规草案一般应当对地方性法规草案制定的目的、依据、适用范围、主管部门、权利义务、法律责任、施行日期等作出规定，并符合立法技术规范要求。</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_GB2312" w:eastAsia="仿宋_GB2312" w:cs="仿宋_GB2312"/>
          <w:kern w:val="0"/>
          <w:sz w:val="32"/>
          <w:szCs w:val="32"/>
        </w:rPr>
        <w:t>　</w:t>
      </w:r>
      <w:r>
        <w:rPr>
          <w:rFonts w:hint="eastAsia" w:ascii="仿宋_GB2312" w:hAnsi="仿宋" w:eastAsia="仿宋_GB2312" w:cs="仿宋"/>
          <w:sz w:val="32"/>
          <w:szCs w:val="32"/>
        </w:rPr>
        <w:t>起草地方性法规草案应当深入调查研究，广泛听取各方面的意见。对地方性法规草案规范的主要问题和涉及到的专业技术问题应当进行论证；对直接涉及公民、法人或者其他组织切身利益的，应当向社会公布。</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仿宋_GB2312" w:eastAsia="仿宋_GB2312" w:cs="仿宋_GB2312"/>
          <w:kern w:val="0"/>
          <w:sz w:val="32"/>
          <w:szCs w:val="32"/>
        </w:rPr>
        <w:t>　</w:t>
      </w:r>
      <w:r>
        <w:rPr>
          <w:rFonts w:hint="eastAsia" w:ascii="仿宋_GB2312" w:hAnsi="仿宋" w:eastAsia="仿宋_GB2312" w:cs="仿宋"/>
          <w:sz w:val="32"/>
          <w:szCs w:val="32"/>
        </w:rPr>
        <w:t>提请市人民代表大会或者常务委员会审议的地方性法规案，应当同时提出地方性法规草案文本和说明，并提供必要的参阅资料。修正地方性法规的，还应当提交修改前后的对照文本。</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地方性法规草案的说明，应当阐明制定或者修改地方性法规的必要性、可行性和主要内容，以及起草过程中对重大分歧意见协调处理等方面的情况。</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宋体" w:hAnsi="宋体" w:cs="宋体"/>
          <w:sz w:val="32"/>
          <w:szCs w:val="32"/>
        </w:rPr>
        <w:t>  </w:t>
      </w:r>
      <w:r>
        <w:rPr>
          <w:rFonts w:hint="eastAsia" w:ascii="黑体" w:hAnsi="黑体" w:eastAsia="黑体" w:cs="黑体"/>
          <w:sz w:val="32"/>
          <w:szCs w:val="32"/>
        </w:rPr>
        <w:t>立法程序</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before="156" w:beforeLines="50" w:after="156" w:afterLines="50" w:line="594" w:lineRule="exact"/>
        <w:ind w:left="0" w:lef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市人民代表大会立法程序</w:t>
      </w:r>
    </w:p>
    <w:p>
      <w:pPr>
        <w:widowControl w:val="0"/>
        <w:wordWrap/>
        <w:adjustRightInd w:val="0"/>
        <w:snapToGrid w:val="0"/>
        <w:spacing w:line="594" w:lineRule="exact"/>
        <w:ind w:left="0" w:leftChars="0" w:firstLine="640" w:firstLineChars="200"/>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市人民代表大会主席团可以向市人民代表大会提出地方性法规案，由市人民代表大会会议审议。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常务委员会、市人民政府、各专门委员会，可以向市人民代表大会提出地方性法规案，由主席团决定列入会议议程。</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十名以上的市人民代表大会代表联名，可以向市人民代表大会提出地方性法规案，由主席团决定是否列入会议议程，或者先交有关的专门委员会审议、提出是否列入会议议程的意见，再由主席团决定是否列入会议议程。</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专门委员会审议时，可以邀请提案人列席会议，发表意见。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向市人民代表大会提出的地方性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常务委员会决定提请市人民代表大会审议的地方性法规案，常务委员会有关工作机构应当在会议举行的一个月前将地方性法规草案及其说明发给代表。</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列入市人民代表大会会议议程的地方性法规案，大会全体会议听取常务委员会或者提案人的说明后，由各代表团进行审议。审议时，提案人应当派人听取意见，回答询问。根据代表团的要求，有关机关、组织应当派人介绍情况。</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列入市人民代表大会会议议程的地方性法规案，由有关的专门委员会进行审议，向主席团提出审议意见，并印发会议。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主席团常务主席也可以就地方性法规案中的重大的专门性问题,召集代表团推选的有关代表进行讨论，并将讨论的情况和意见向主席团报告。</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列入市人民代表大会会议议程的地方性法规案，在交付表决前，提案人要求撤回的，应当说明理由，经主席团同意，并向大会报告，对该地方性法规案的审议即行终止。</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 w:eastAsia="仿宋_GB2312" w:cs="仿宋"/>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djustRightInd w:val="0"/>
        <w:snapToGrid w:val="0"/>
        <w:spacing w:line="594" w:lineRule="exact"/>
        <w:ind w:left="0" w:leftChars="0" w:firstLine="420" w:firstLineChars="200"/>
        <w:textAlignment w:val="auto"/>
        <w:outlineLvl w:val="9"/>
        <w:rPr>
          <w:rFonts w:hint="eastAsia" w:ascii="仿宋_GB2312" w:hAnsi="仿宋_GB2312" w:eastAsia="仿宋_GB2312" w:cs="仿宋_GB2312"/>
          <w:spacing w:val="-4"/>
          <w:sz w:val="32"/>
          <w:szCs w:val="32"/>
        </w:rPr>
      </w:pPr>
      <w:r>
        <w:rPr>
          <w:rStyle w:val="7"/>
          <w:rFonts w:hint="eastAsia"/>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地方性法规草案修改稿经各代表团审议，由法制委员会根据各代表团的审议意见进行修改，提出地方性法规草案表决稿，由主席团提请大会全体会议表决，由全体代表的过半数通过。</w:t>
      </w:r>
    </w:p>
    <w:p>
      <w:pPr>
        <w:widowControl w:val="0"/>
        <w:wordWrap/>
        <w:adjustRightInd w:val="0"/>
        <w:snapToGrid w:val="0"/>
        <w:spacing w:before="156" w:beforeLines="50" w:after="156" w:afterLines="50" w:line="594" w:lineRule="exact"/>
        <w:ind w:left="0" w:leftChars="0"/>
        <w:jc w:val="center"/>
        <w:textAlignment w:val="auto"/>
        <w:outlineLvl w:val="9"/>
        <w:rPr>
          <w:rFonts w:hint="eastAsia" w:ascii="楷体_GB2312" w:hAnsi="楷体_GB2312" w:eastAsia="楷体_GB2312" w:cs="楷体_GB2312"/>
          <w:sz w:val="32"/>
          <w:szCs w:val="32"/>
        </w:rPr>
      </w:pPr>
    </w:p>
    <w:p>
      <w:pPr>
        <w:widowControl w:val="0"/>
        <w:numPr>
          <w:ilvl w:val="0"/>
          <w:numId w:val="1"/>
        </w:numPr>
        <w:wordWrap/>
        <w:adjustRightInd w:val="0"/>
        <w:snapToGrid w:val="0"/>
        <w:spacing w:before="156" w:beforeLines="50" w:after="156" w:afterLines="50" w:line="594" w:lineRule="exact"/>
        <w:ind w:left="0" w:lef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市人民代表大会常务委员会立法程序</w:t>
      </w:r>
    </w:p>
    <w:p>
      <w:pPr>
        <w:widowControl w:val="0"/>
        <w:wordWrap/>
        <w:adjustRightInd w:val="0"/>
        <w:snapToGrid w:val="0"/>
        <w:spacing w:line="594" w:lineRule="exact"/>
        <w:ind w:left="0" w:leftChars="0" w:firstLine="640" w:firstLineChars="200"/>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主任会议可以向常务委员会提出地方性法规案，由常务委员会会议审议。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人民政府、各专门委员会可以向常务委员会提出地方性法规案，由主任会议决定列入常务委员会会议议程，或者先交有关的专门委员会审议，提出报告，再决定列入常务委员会会议议程。主任会议认为提出的地方性法规案有重大问题需要进一步研究，可以建议提案人修改完善后再向常务委员会提出。</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或者向提案人说明。</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专门委员会审议时，可以邀请提案人列席会议，发表意见。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pacing w:val="-4"/>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 w:eastAsia="仿宋_GB2312" w:cs="仿宋"/>
          <w:spacing w:val="-4"/>
          <w:sz w:val="32"/>
          <w:szCs w:val="32"/>
        </w:rPr>
        <w:t>拟提请常务委员会会议第一次审议的地方性法规案，一般应当在常务委员会会议召开二十日前报送常务委员会。</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列入常务委员会会议议程的地方性法规案，除特殊情况外，应当在会议举行的七日前将该地方性法规草案及其说明发给常务委员会组成人员。</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常务委员会审议地方性法规草案过程中，可以根据需要征求省人民代表大会常务委员会法制工作机构的意见。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列入常务委员会会议议程的地方性法规案，一般应当经两次常务委员会会议审议后再交付表决。</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对社会广泛关注且意见分歧较大的地方性法规案，可以经三次常务委员会会议审议后再交付表决，或者经两次常务委员会会议审议后，交付下次常务委员会会议表决。</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调整事项较为单一、部分修改或者废止的地方性法规案，各方面意见比较一致的，可以经一次常务委员会会议审议后交付表决。</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第三十六条</w:t>
      </w:r>
      <w:r>
        <w:rPr>
          <w:rFonts w:hint="eastAsia" w:ascii="黑体" w:hAnsi="仿宋_GB2312" w:eastAsia="黑体" w:cs="仿宋_GB2312"/>
          <w:sz w:val="32"/>
          <w:szCs w:val="32"/>
        </w:rPr>
        <w:t xml:space="preserve">  </w:t>
      </w:r>
      <w:r>
        <w:rPr>
          <w:rFonts w:hint="eastAsia" w:ascii="仿宋_GB2312" w:hAnsi="仿宋" w:eastAsia="仿宋_GB2312" w:cs="仿宋"/>
          <w:sz w:val="32"/>
          <w:szCs w:val="32"/>
        </w:rPr>
        <w:t>常务委员会会议第一次审议地方性法规案，在全体会议上听取提案人的说明和有关的专门委员会的审议意见报告后，由分组会议进行审议。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常务委员会会议第二次审议地方性法规案，在全体会议上由法制委员会作关于地方性法规草案修改情况和主要问题的汇报，并提出地方性法规草案修改稿，由分组会议对地方性法规草案修改稿进行审议。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常务委员会审议地方性法规案时，根据需要，可以召开联组会议或者全体会议，对地方性法规草案中的主要问题进行讨论。</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常务委员会审议地方性法规案时，应当邀请有关的市人民代表大会代表列席会议，发表意见，也可以组织公民旁听。</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常务委员会分组会议或者联组会议审议地方性法规案时，提案人应当派人听取意见，回答询问。根据小组或者联组的要求，有关机关、组织应当派人介绍情况。</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列入常务委员会会议议程的地方性法规案，由有关的专门委员会或者常务委员会工作机构进行审议或者审查，提出意见，印发常务委员会会议。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有关的专门委员会或者常务委员会工作机构审议或者审查地方性法规案时，应当召开全体会议，可以要求有关机关、组织的负责人说明情况。</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审议或者审查意见，应当包括制定该地方性法规草案的必要性，地方性法规草案的合法性、可行性，并对地方性法规草案提出具体修改意见。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由法制委员会根据常务委员会组成人员、有关的专门委员会的审议意见或者常务委员会工作机构的审查意见和各方面提出的意见，对地方性法规案进行统一审议，提出修改情况和主要问题的汇报或者审议结果的报告和地方性法规草案修改稿，对重要的不同意见，法制委员会应当在汇报或者审议结果的报告中予以说明。对有关的专门委员会的审议意见或者常务委员会工作机构的审查意见没有采纳的，应当予以反馈。</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法制委员会审议地方性法规案时，应当召开全体会议，邀请有关的专门委员会的成员、常务委员会工作机构、市人民政府法制工作机构及有关部门列席会议，发表意见。</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专门委员会之间或者专门委员会与常务委员会工作机构之间对地方性法规草案的重要问题意见不一致时，应当向主任会议报告。</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pacing w:val="-11"/>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列入常务委员会会议议程的地方性法规案，法制委员会、有关的专门委员会和常务委员会工作机构应当听取各方面的意见。听取意见可以采取座谈会、论证会、听证会等多种形式。</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地方性法规案有关问题专业性较强，需要进行可行性评价的，应当召开论证会，听取有关专家、部门和市人民代表大会代表等方面的意见。论证情况应当向常务委员会报告。</w:t>
      </w:r>
    </w:p>
    <w:p>
      <w:pPr>
        <w:widowControl w:val="0"/>
        <w:wordWrap/>
        <w:adjustRightInd w:val="0"/>
        <w:snapToGrid w:val="0"/>
        <w:spacing w:line="594" w:lineRule="exact"/>
        <w:ind w:left="0" w:lef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widowControl w:val="0"/>
        <w:wordWrap/>
        <w:adjustRightInd w:val="0"/>
        <w:snapToGrid w:val="0"/>
        <w:spacing w:line="594" w:lineRule="exact"/>
        <w:ind w:left="0" w:leftChars="0" w:firstLine="640" w:firstLineChars="200"/>
        <w:textAlignment w:val="auto"/>
        <w:outlineLvl w:val="9"/>
        <w:rPr>
          <w:rStyle w:val="7"/>
        </w:rPr>
      </w:pPr>
      <w:r>
        <w:rPr>
          <w:rFonts w:hint="eastAsia" w:ascii="仿宋_GB2312" w:hAnsi="仿宋" w:eastAsia="仿宋_GB2312" w:cs="仿宋"/>
          <w:sz w:val="32"/>
          <w:szCs w:val="32"/>
        </w:rPr>
        <w:t>常务委员会工作机构应当将地方性法规草案发送相关领域的市人民代表大会代表、县（市、区）人民代表大会常务委员会以及有关部门、组织和专家征求意见。</w:t>
      </w:r>
    </w:p>
    <w:p>
      <w:pPr>
        <w:widowControl w:val="0"/>
        <w:wordWrap/>
        <w:adjustRightInd w:val="0"/>
        <w:snapToGrid w:val="0"/>
        <w:spacing w:line="594" w:lineRule="exact"/>
        <w:ind w:left="0" w:leftChars="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应当在常务委员会会议后将地方性法规草案及其起草、修改的说明等向社会公布，征求意见，但是主任会议决定不公布的除外。向社会公布征求意见的时间一般不少于三十日。</w:t>
      </w:r>
    </w:p>
    <w:p>
      <w:pPr>
        <w:widowControl w:val="0"/>
        <w:wordWrap/>
        <w:adjustRightInd w:val="0"/>
        <w:snapToGrid w:val="0"/>
        <w:spacing w:line="594" w:lineRule="exact"/>
        <w:ind w:left="0" w:leftChars="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第四十三条</w:t>
      </w:r>
      <w:r>
        <w:rPr>
          <w:rFonts w:hint="eastAsia" w:ascii="仿宋_GB2312" w:hAnsi="仿宋_GB2312" w:eastAsia="仿宋_GB2312" w:cs="仿宋_GB2312"/>
          <w:spacing w:val="-11"/>
          <w:sz w:val="32"/>
          <w:szCs w:val="32"/>
        </w:rPr>
        <w:t xml:space="preserve">  </w:t>
      </w:r>
      <w:r>
        <w:rPr>
          <w:rFonts w:hint="eastAsia" w:ascii="仿宋_GB2312" w:hAnsi="仿宋" w:eastAsia="仿宋_GB2312" w:cs="仿宋"/>
          <w:sz w:val="32"/>
          <w:szCs w:val="32"/>
        </w:rPr>
        <w:t>列入常务委员会会议议程的地方性法规案，常务委员会工作机</w:t>
      </w:r>
      <w:r>
        <w:rPr>
          <w:rFonts w:hint="eastAsia" w:ascii="仿宋_GB2312" w:hAnsi="仿宋" w:eastAsia="仿宋_GB2312" w:cs="仿宋"/>
          <w:spacing w:val="-4"/>
          <w:sz w:val="32"/>
          <w:szCs w:val="32"/>
        </w:rPr>
        <w:t>构应当收集整理分组审议的意见、各方面提出的意见以及其他有关资料，分送法制委员会和有关的专门委员会或者常务委员会工作机构，并根据需要，印发常务委员会会议。</w:t>
      </w:r>
    </w:p>
    <w:p>
      <w:pPr>
        <w:widowControl w:val="0"/>
        <w:wordWrap/>
        <w:adjustRightInd w:val="0"/>
        <w:snapToGrid w:val="0"/>
        <w:spacing w:line="594" w:lineRule="exact"/>
        <w:ind w:left="0" w:leftChars="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 </w:t>
      </w:r>
    </w:p>
    <w:p>
      <w:pPr>
        <w:widowControl w:val="0"/>
        <w:wordWrap/>
        <w:adjustRightInd w:val="0"/>
        <w:snapToGrid w:val="0"/>
        <w:spacing w:line="594" w:lineRule="exact"/>
        <w:ind w:left="0" w:leftChars="0" w:firstLine="59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11"/>
          <w:sz w:val="32"/>
          <w:szCs w:val="32"/>
        </w:rPr>
        <w:t>第四十六条</w:t>
      </w:r>
      <w:r>
        <w:rPr>
          <w:rFonts w:hint="eastAsia" w:ascii="仿宋_GB2312" w:hAnsi="仿宋_GB2312" w:eastAsia="仿宋_GB2312" w:cs="仿宋_GB2312"/>
          <w:spacing w:val="-11"/>
          <w:sz w:val="32"/>
          <w:szCs w:val="32"/>
        </w:rPr>
        <w:t xml:space="preserve">  </w:t>
      </w:r>
      <w:r>
        <w:rPr>
          <w:rFonts w:hint="eastAsia" w:ascii="仿宋_GB2312" w:hAnsi="仿宋_GB2312" w:eastAsia="仿宋_GB2312" w:cs="仿宋_GB2312"/>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地方性法规草案表决稿交付常务委员会会议表决前，主任会议根据常务委员会审议的情况，可以决定将个别意见分歧较大的重要条款提请常务委员会会议单独表决。</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w:t>
      </w:r>
      <w:r>
        <w:rPr>
          <w:rFonts w:hint="eastAsia" w:ascii="仿宋_GB2312" w:hAnsi="仿宋_GB2312" w:eastAsia="仿宋_GB2312" w:cs="仿宋_GB2312"/>
          <w:spacing w:val="-12"/>
          <w:sz w:val="32"/>
          <w:szCs w:val="32"/>
        </w:rPr>
        <w:t>决情况，可以决定将地方性法规草案表决稿交付表决，也可以决定暂不付表决，交法制委员会和有关的专门委员会进一步审议。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审议的，由主任会议向常务委员会报告，该地方性法规案终止审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对多部地方性法规中涉及同类事项的个别条款进行修改，一并提出地方性法规案的，经主任会议决定，可以合并表决，也可以分别表决。</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before="156" w:beforeLines="50" w:after="156" w:afterLines="50" w:line="594" w:lineRule="exact"/>
        <w:ind w:left="0" w:lef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  报请批准与公布</w:t>
      </w:r>
    </w:p>
    <w:p>
      <w:pPr>
        <w:widowControl w:val="0"/>
        <w:wordWrap/>
        <w:adjustRightInd w:val="0"/>
        <w:snapToGrid w:val="0"/>
        <w:spacing w:line="594" w:lineRule="exact"/>
        <w:ind w:left="0" w:leftChars="0" w:right="0" w:firstLine="640" w:firstLineChars="200"/>
        <w:jc w:val="both"/>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市人民代表大会及其常务委员会通过的地方性法规，报请省人民代表大会常务委员会批准后施行。</w:t>
      </w: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市人民代表大会及其常务委员会表决通过地方性法规案后，由市人民代表大会常务委员会向省人民代表大会常务委员会提出报请批准的报告和地方性法规文本，并附有关说明及参阅资料。</w:t>
      </w: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省人民代表大会常务委员会审议报请批准的地方性法规时，市人民代表大会常务委员会应当提交书面说明，并派人列席分组会议，听取意见，回答询问。</w:t>
      </w: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市人民代表大会及其常务委员会报请批准地方性法规经省人民代表大会常务委员会批准后，由市人民代表大会常务委员会发布公告予以公布。</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省人民代表大会常务委员会采取附修改意见方式批准的地方性法规，由市人民代表大会常务委员会法制工作机构按照所附修改意见进行修改后，由市人民代表大会常务委员会发布公告予以公布。</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地方性法规被修改的，应当公布新的地方性法规文本。地方性法规被废止的，除由其他地方性法规规定废止该地方性法规的以外，由市人民代表大会常务委员会发布公告予以公布。</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地方性法规公告应当载明该地方性法规的制定机关、批准机关，通过、批准和施行日期。</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地方性法规公布后，应当及时在《吉安市人民代表大会常务委员会公报》和中国人大网、吉安人大网以及《井冈山报》上刊载。</w:t>
      </w:r>
    </w:p>
    <w:p>
      <w:pPr>
        <w:widowControl w:val="0"/>
        <w:wordWrap/>
        <w:adjustRightInd w:val="0"/>
        <w:snapToGrid w:val="0"/>
        <w:spacing w:line="594" w:lineRule="exact"/>
        <w:ind w:left="0" w:leftChars="0"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在《吉安市人民代表大会常务委员会公报》上刊登的地方性法规文本为标准文本。</w:t>
      </w:r>
    </w:p>
    <w:p>
      <w:pPr>
        <w:widowControl w:val="0"/>
        <w:wordWrap/>
        <w:adjustRightInd w:val="0"/>
        <w:snapToGrid w:val="0"/>
        <w:spacing w:line="594" w:lineRule="exact"/>
        <w:ind w:left="0" w:leftChars="0" w:right="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法规解释</w:t>
      </w:r>
    </w:p>
    <w:p>
      <w:pPr>
        <w:widowControl w:val="0"/>
        <w:wordWrap/>
        <w:adjustRightInd w:val="0"/>
        <w:snapToGrid w:val="0"/>
        <w:spacing w:line="594" w:lineRule="exact"/>
        <w:ind w:left="0" w:leftChars="0" w:right="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w:t>
      </w:r>
      <w:r>
        <w:rPr>
          <w:rFonts w:hint="eastAsia" w:ascii="仿宋_GB2312" w:hAnsi="仿宋_GB2312" w:eastAsia="仿宋_GB2312" w:cs="仿宋_GB2312"/>
          <w:spacing w:val="-4"/>
          <w:sz w:val="32"/>
          <w:szCs w:val="32"/>
        </w:rPr>
        <w:t>人民代表大会及其常务委员会制定的地方性法规，其规定需要进一步明确具体含义或者制定后出现新的情况，需要明确适用地方性法规依据的，由常务委员会进行解释。</w:t>
      </w:r>
    </w:p>
    <w:p>
      <w:pPr>
        <w:widowControl w:val="0"/>
        <w:wordWrap/>
        <w:adjustRightInd w:val="0"/>
        <w:snapToGrid w:val="0"/>
        <w:spacing w:line="594" w:lineRule="exact"/>
        <w:ind w:left="0" w:lef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常务委员会的地方性法规解释同地方性法规具有同等效力。</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市人民政府、市中级人民法院、市人民检察院和市人民代表大会各专门委员会以及县（市、区）的人民代表大会常务委员会，可以向市人民代表大会常务委员会提出地方性法规解释要求。</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常务委员会法制工作机构应当对地方性法规的解释要求进行审查，认为有必要作出解释的，研究拟订地方性法规解释草案，由主任会议决定列入常务委员会会议议程。</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宋体" w:eastAsia="仿宋_GB2312"/>
          <w:sz w:val="32"/>
          <w:szCs w:val="32"/>
        </w:rPr>
        <w:t xml:space="preserve"> </w:t>
      </w:r>
      <w:r>
        <w:rPr>
          <w:rFonts w:hint="eastAsia" w:ascii="仿宋_GB2312" w:hAnsi="宋体" w:eastAsia="仿宋_GB2312"/>
          <w:b/>
          <w:sz w:val="32"/>
          <w:szCs w:val="32"/>
        </w:rPr>
        <w:t xml:space="preserve"> </w:t>
      </w:r>
      <w:r>
        <w:rPr>
          <w:rFonts w:hint="eastAsia" w:ascii="仿宋_GB2312" w:hAnsi="仿宋_GB2312" w:eastAsia="仿宋_GB2312" w:cs="仿宋_GB2312"/>
          <w:sz w:val="32"/>
          <w:szCs w:val="32"/>
        </w:rPr>
        <w:t>地方性法规解释草案经常务委员会会议审议，由法制委员会根据常务委员会组成人员的意见进行审议、修改，提出地方性法规解释草案表决稿。</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地方性法规解释草案表决稿由主任会议提请常务委员会全体会议表决，由常务委员会全体组成人员的过半数通过。</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宋体" w:eastAsia="仿宋_GB2312"/>
          <w:sz w:val="32"/>
          <w:szCs w:val="32"/>
        </w:rPr>
        <w:t xml:space="preserve"> </w:t>
      </w:r>
      <w:r>
        <w:rPr>
          <w:rFonts w:hint="eastAsia" w:ascii="仿宋_GB2312" w:hAnsi="宋体" w:eastAsia="仿宋_GB2312"/>
          <w:b/>
          <w:sz w:val="32"/>
          <w:szCs w:val="32"/>
        </w:rPr>
        <w:t xml:space="preserve"> </w:t>
      </w:r>
      <w:r>
        <w:rPr>
          <w:rFonts w:hint="eastAsia" w:ascii="仿宋_GB2312" w:hAnsi="仿宋_GB2312" w:eastAsia="仿宋_GB2312" w:cs="仿宋_GB2312"/>
          <w:sz w:val="32"/>
          <w:szCs w:val="32"/>
        </w:rPr>
        <w:t>常务委员会法制工作机构可以对有关具体问题</w:t>
      </w:r>
      <w:r>
        <w:rPr>
          <w:rFonts w:hint="eastAsia" w:ascii="仿宋_GB2312" w:hAnsi="仿宋_GB2312" w:eastAsia="仿宋_GB2312" w:cs="仿宋_GB2312"/>
          <w:spacing w:val="-4"/>
          <w:sz w:val="32"/>
          <w:szCs w:val="32"/>
        </w:rPr>
        <w:t>的地方性法规询问，进行研究予以答复，并报常务委员会备案。</w:t>
      </w:r>
    </w:p>
    <w:p>
      <w:pPr>
        <w:widowControl w:val="0"/>
        <w:wordWrap/>
        <w:spacing w:line="594" w:lineRule="exact"/>
        <w:ind w:left="0" w:leftChars="0" w:firstLine="645"/>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市人民代表大会常务委员会作出的地方性法规解释，</w:t>
      </w:r>
      <w:r>
        <w:rPr>
          <w:rFonts w:hint="eastAsia" w:ascii="仿宋_GB2312" w:hAnsi="仿宋_GB2312" w:eastAsia="仿宋_GB2312" w:cs="仿宋_GB2312"/>
          <w:spacing w:val="-4"/>
          <w:sz w:val="32"/>
          <w:szCs w:val="32"/>
        </w:rPr>
        <w:t>报请省人民代表大会常务委员会批准后生效。地方性法规解释的报请批准和公布程序，参照本条例第四章第三节的规定。</w:t>
      </w:r>
    </w:p>
    <w:p>
      <w:pPr>
        <w:widowControl w:val="0"/>
        <w:wordWrap/>
        <w:spacing w:line="594" w:lineRule="exact"/>
        <w:ind w:left="0" w:leftChars="0" w:firstLine="645"/>
        <w:textAlignment w:val="auto"/>
        <w:outlineLvl w:val="9"/>
        <w:rPr>
          <w:rFonts w:hint="eastAsia" w:ascii="仿宋_GB2312" w:hAnsi="仿宋_GB2312" w:eastAsia="仿宋_GB2312" w:cs="仿宋_GB2312"/>
          <w:spacing w:val="-4"/>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其他规定</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交付市人民代表大会</w:t>
      </w:r>
      <w:r>
        <w:rPr>
          <w:rFonts w:hint="eastAsia" w:ascii="仿宋_GB2312" w:hAnsi="仿宋_GB2312" w:eastAsia="仿宋_GB2312" w:cs="仿宋_GB2312"/>
          <w:sz w:val="32"/>
          <w:szCs w:val="32"/>
          <w:lang w:val="en-US" w:eastAsia="zh-CN"/>
        </w:rPr>
        <w:t>全体</w:t>
      </w:r>
      <w:r>
        <w:rPr>
          <w:rFonts w:hint="eastAsia" w:ascii="仿宋_GB2312" w:hAnsi="仿宋_GB2312" w:eastAsia="仿宋_GB2312" w:cs="仿宋_GB2312"/>
          <w:sz w:val="32"/>
          <w:szCs w:val="32"/>
        </w:rPr>
        <w:t>会议表决未获得通过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交付市人民代表大会常务委员会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常务委员会应当拓宽公民有序参与立法途径，建立基层立法联系点，发挥基层单位和公民在立法中的作用。</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常务委员会可以根据立法工作需要，建立立法专家库。</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有关的专门委员会、常务委员会工作机构和有关部门、单位应当对地方性法规进行定期清理，发现</w:t>
      </w:r>
      <w:r>
        <w:rPr>
          <w:rFonts w:hint="eastAsia" w:ascii="仿宋_GB2312" w:hAnsi="仿宋_GB2312" w:eastAsia="仿宋_GB2312" w:cs="仿宋_GB2312"/>
          <w:sz w:val="32"/>
          <w:szCs w:val="32"/>
        </w:rPr>
        <w:t>地方性法规内</w:t>
      </w:r>
      <w:r>
        <w:rPr>
          <w:rFonts w:hint="eastAsia" w:ascii="仿宋_GB2312" w:hAnsi="仿宋_GB2312" w:eastAsia="仿宋_GB2312" w:cs="仿宋_GB2312"/>
          <w:spacing w:val="-4"/>
          <w:sz w:val="32"/>
          <w:szCs w:val="32"/>
        </w:rPr>
        <w:t>容与上位法相抵触的，与本市其他地方性法规不协调的，或者与现实情况不适应的，应当提出修改或者废止地方性法规的建议。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地方性法规施行后上位法制定、修改或者废止的，实施地方性法规的部门应当及时对地方性法规进行检查，提出是否修改或者废止地方性法规的意见和建议。</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修改或者废止地方性法规的意见和建议，由常务委员会法制工作机构组织研究，确需修改或者废止地方性法规的，报主任会议同意，列入年度立法计划。</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本市地方性法规明确要求本市有关国家机关对专门事项作出配套的具体规定的，有关国家机关应当自地方性法规施行之日起一年内作出规定，地方性法规对配套的具体规定制定期限另有规定的，从其规定。规定公布后的三十日内报常务委员会备案。</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有关国家机关未能在期限内作出配套的具体规定的，应当向常务委员会说明情况。</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有关的专门委员会、常务委员会工作机构可以组织对地方性法规或者地方性法规中有关规定进行立法后评估。评估情况应当向常务委员会报告。</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立法后评估报告提出需要对地方性法规进行修改或者废止的，经主任会议决定将相关立法项目列入常务委员会立法规划项目库或者年度立法计划。</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仿宋_GB2312" w:eastAsia="黑体" w:cs="仿宋_GB2312"/>
          <w:sz w:val="32"/>
          <w:szCs w:val="32"/>
        </w:rPr>
        <w:t xml:space="preserve">  </w:t>
      </w:r>
      <w:r>
        <w:rPr>
          <w:rFonts w:hint="eastAsia" w:ascii="仿宋_GB2312" w:hAnsi="仿宋_GB2312" w:eastAsia="仿宋_GB2312" w:cs="仿宋_GB2312"/>
          <w:sz w:val="32"/>
          <w:szCs w:val="32"/>
        </w:rPr>
        <w:t>常务委员会法制工作机构应当定期将已公布施行的地方性法规汇编成册。</w:t>
      </w:r>
    </w:p>
    <w:p>
      <w:pPr>
        <w:widowControl w:val="0"/>
        <w:wordWrap/>
        <w:adjustRightInd w:val="0"/>
        <w:snapToGrid w:val="0"/>
        <w:spacing w:line="594" w:lineRule="exact"/>
        <w:ind w:left="0" w:leftChars="0" w:firstLine="640" w:firstLineChars="200"/>
        <w:textAlignment w:val="auto"/>
        <w:outlineLvl w:val="9"/>
        <w:rPr>
          <w:rFonts w:hint="eastAsia" w:ascii="仿宋_GB2312" w:hAnsi="仿宋_GB2312" w:eastAsia="仿宋_GB2312" w:cs="仿宋_GB2312"/>
          <w:sz w:val="32"/>
          <w:szCs w:val="32"/>
        </w:rPr>
      </w:pP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widowControl w:val="0"/>
        <w:wordWrap/>
        <w:adjustRightInd w:val="0"/>
        <w:snapToGrid w:val="0"/>
        <w:spacing w:line="594"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val="0"/>
        <w:snapToGrid w:val="0"/>
        <w:spacing w:line="594"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本条例自公布之日起施行。</w:t>
      </w:r>
    </w:p>
    <w:p>
      <w:pPr>
        <w:ind w:left="1918" w:leftChars="304" w:hanging="1280" w:hangingChars="400"/>
        <w:rPr>
          <w:rFonts w:hint="eastAsia" w:ascii="仿宋_GB2312" w:eastAsia="仿宋_GB2312"/>
          <w:sz w:val="32"/>
          <w:szCs w:val="32"/>
        </w:rPr>
      </w:pPr>
    </w:p>
    <w:p>
      <w:pPr>
        <w:ind w:left="1918" w:leftChars="304" w:hanging="1280" w:hangingChars="400"/>
        <w:rPr>
          <w:rFonts w:hint="eastAsia" w:ascii="仿宋_GB2312" w:eastAsia="仿宋_GB2312"/>
          <w:sz w:val="32"/>
          <w:szCs w:val="32"/>
        </w:rPr>
      </w:pPr>
    </w:p>
    <w:p>
      <w:pPr>
        <w:rPr>
          <w:rFonts w:hint="eastAsia"/>
          <w:lang w:val="en-US" w:eastAsia="zh-CN"/>
        </w:rPr>
      </w:pPr>
    </w:p>
    <w:bookmarkEnd w:id="0"/>
    <w:sectPr>
      <w:headerReference r:id="rId3" w:type="default"/>
      <w:footerReference r:id="rId4" w:type="default"/>
      <w:pgSz w:w="11906" w:h="16838"/>
      <w:pgMar w:top="2098" w:right="1417" w:bottom="1417" w:left="1587" w:header="0" w:footer="1304"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黑体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Times New Roman" w:hAnsi="Times New Roman" w:eastAsia="宋体" w:cs="Times New Roman"/>
        <w:kern w:val="2"/>
        <w:sz w:val="21"/>
        <w:lang w:val="en-US" w:eastAsia="zh-CN" w:bidi="ar-SA"/>
      </w:rPr>
      <w:pict>
        <v:shape id="文本框 3" o:spid="_x0000_s4097" o:spt="202" type="#_x0000_t202" style="position:absolute;left:0pt;margin-top:0pt;height:16.1pt;width:23.3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05BDD"/>
    <w:multiLevelType w:val="singleLevel"/>
    <w:tmpl w:val="58F05BDD"/>
    <w:lvl w:ilvl="0" w:tentative="0">
      <w:start w:val="2"/>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EE17FFB"/>
    <w:rsid w:val="00735FD8"/>
    <w:rsid w:val="00E860A7"/>
    <w:rsid w:val="07534192"/>
    <w:rsid w:val="09A76BE4"/>
    <w:rsid w:val="0ACB17CC"/>
    <w:rsid w:val="0EE17FFB"/>
    <w:rsid w:val="0F7B7E0C"/>
    <w:rsid w:val="149F3C4C"/>
    <w:rsid w:val="1D1D63D2"/>
    <w:rsid w:val="20A26F98"/>
    <w:rsid w:val="23460FE5"/>
    <w:rsid w:val="2550646C"/>
    <w:rsid w:val="28175A66"/>
    <w:rsid w:val="295419DA"/>
    <w:rsid w:val="301C26FD"/>
    <w:rsid w:val="39FB0BAF"/>
    <w:rsid w:val="3D153845"/>
    <w:rsid w:val="416C77D6"/>
    <w:rsid w:val="41E11C39"/>
    <w:rsid w:val="471A4A33"/>
    <w:rsid w:val="49825129"/>
    <w:rsid w:val="4B6A46DE"/>
    <w:rsid w:val="4C226976"/>
    <w:rsid w:val="4D524AEA"/>
    <w:rsid w:val="51B07591"/>
    <w:rsid w:val="5449202A"/>
    <w:rsid w:val="54D042DA"/>
    <w:rsid w:val="578C48B7"/>
    <w:rsid w:val="593522FB"/>
    <w:rsid w:val="60062629"/>
    <w:rsid w:val="6AA9520C"/>
    <w:rsid w:val="712C6566"/>
    <w:rsid w:val="7473386B"/>
    <w:rsid w:val="774A2848"/>
    <w:rsid w:val="7AD3027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nhideWhenUsed/>
    <w:qFormat/>
    <w:uiPriority w:val="99"/>
  </w:style>
  <w:style w:type="character" w:styleId="7">
    <w:name w:val="annotation reference"/>
    <w:basedOn w:val="5"/>
    <w:unhideWhenUsed/>
    <w:qFormat/>
    <w:uiPriority w:val="99"/>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2017-04-13T10:45:00Z</cp:lastPrinted>
  <dcterms:modified xsi:type="dcterms:W3CDTF">2017-04-29T08:40:48Z</dcterms:modified>
  <dc:title>江西省人民代表大会常务委员会文件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