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1559" w:tblpY="152"/>
        <w:tblOverlap w:val="never"/>
        <w:tblW w:w="8925" w:type="dxa"/>
        <w:tblCellSpacing w:w="15" w:type="dxa"/>
        <w:tblLayout w:type="fixed"/>
        <w:tblCellMar>
          <w:top w:w="15" w:type="dxa"/>
          <w:left w:w="15" w:type="dxa"/>
          <w:bottom w:w="15" w:type="dxa"/>
          <w:right w:w="15" w:type="dxa"/>
        </w:tblCellMar>
        <w:tblLook w:val="04A0"/>
      </w:tblPr>
      <w:tblGrid>
        <w:gridCol w:w="8925"/>
      </w:tblGrid>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Theme="majorEastAsia" w:eastAsiaTheme="majorEastAsia" w:hAnsiTheme="majorEastAsia" w:cstheme="majorEastAsia"/>
              </w:rPr>
            </w:pPr>
          </w:p>
          <w:p w:rsidR="00C367C6" w:rsidRDefault="00C367C6">
            <w:pPr>
              <w:snapToGrid/>
              <w:spacing w:after="0" w:line="300" w:lineRule="auto"/>
              <w:ind w:firstLineChars="200" w:firstLine="632"/>
              <w:jc w:val="both"/>
              <w:rPr>
                <w:rFonts w:ascii="仿宋" w:hAnsi="仿宋" w:cs="仿宋"/>
              </w:rPr>
            </w:pPr>
          </w:p>
          <w:p w:rsidR="00C367C6" w:rsidRDefault="00C25156">
            <w:pPr>
              <w:snapToGrid/>
              <w:spacing w:after="0" w:line="300" w:lineRule="auto"/>
              <w:jc w:val="center"/>
              <w:rPr>
                <w:rFonts w:ascii="仿宋" w:hAnsi="仿宋" w:cs="仿宋"/>
              </w:rPr>
            </w:pPr>
            <w:r>
              <w:rPr>
                <w:rFonts w:asciiTheme="majorEastAsia" w:eastAsiaTheme="majorEastAsia" w:hAnsiTheme="majorEastAsia" w:cstheme="majorEastAsia" w:hint="eastAsia"/>
                <w:sz w:val="44"/>
                <w:szCs w:val="44"/>
              </w:rPr>
              <w:t>吉林省个体工商户条例</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仿宋" w:hAnsi="仿宋" w:cs="仿宋"/>
              </w:rPr>
            </w:pPr>
          </w:p>
          <w:p w:rsidR="00C367C6" w:rsidRDefault="00C25156">
            <w:pPr>
              <w:snapToGrid/>
              <w:spacing w:after="0" w:line="300" w:lineRule="auto"/>
              <w:ind w:leftChars="200" w:left="640" w:rightChars="201" w:right="635" w:hanging="8"/>
              <w:jc w:val="both"/>
              <w:rPr>
                <w:rFonts w:ascii="仿宋" w:hAnsi="仿宋" w:cs="仿宋"/>
              </w:rPr>
            </w:pPr>
            <w:r>
              <w:rPr>
                <w:rFonts w:ascii="楷体" w:eastAsia="楷体" w:hAnsi="楷体" w:cs="楷体" w:hint="eastAsia"/>
              </w:rPr>
              <w:t>(1994</w:t>
            </w:r>
            <w:r>
              <w:rPr>
                <w:rFonts w:ascii="楷体" w:eastAsia="楷体" w:hAnsi="楷体" w:cs="楷体" w:hint="eastAsia"/>
              </w:rPr>
              <w:t>年</w:t>
            </w:r>
            <w:r>
              <w:rPr>
                <w:rFonts w:ascii="楷体" w:eastAsia="楷体" w:hAnsi="楷体" w:cs="楷体" w:hint="eastAsia"/>
              </w:rPr>
              <w:t>11</w:t>
            </w:r>
            <w:r>
              <w:rPr>
                <w:rFonts w:ascii="楷体" w:eastAsia="楷体" w:hAnsi="楷体" w:cs="楷体" w:hint="eastAsia"/>
              </w:rPr>
              <w:t>月</w:t>
            </w:r>
            <w:r>
              <w:rPr>
                <w:rFonts w:ascii="楷体" w:eastAsia="楷体" w:hAnsi="楷体" w:cs="楷体" w:hint="eastAsia"/>
              </w:rPr>
              <w:t>26</w:t>
            </w:r>
            <w:r>
              <w:rPr>
                <w:rFonts w:ascii="楷体" w:eastAsia="楷体" w:hAnsi="楷体" w:cs="楷体" w:hint="eastAsia"/>
              </w:rPr>
              <w:t>日吉林省第八届人民代表大会常务委员会第十三次会议通过</w:t>
            </w:r>
            <w:r>
              <w:rPr>
                <w:rFonts w:ascii="楷体" w:eastAsia="楷体" w:hAnsi="楷体" w:cs="楷体" w:hint="eastAsia"/>
              </w:rPr>
              <w:t xml:space="preserve">  </w:t>
            </w:r>
            <w:r>
              <w:rPr>
                <w:rFonts w:ascii="楷体" w:eastAsia="楷体" w:hAnsi="楷体" w:cs="楷体" w:hint="eastAsia"/>
              </w:rPr>
              <w:t>根据</w:t>
            </w:r>
            <w:r>
              <w:rPr>
                <w:rFonts w:ascii="楷体" w:eastAsia="楷体" w:hAnsi="楷体" w:cs="楷体" w:hint="eastAsia"/>
              </w:rPr>
              <w:t>1997</w:t>
            </w:r>
            <w:r>
              <w:rPr>
                <w:rFonts w:ascii="楷体" w:eastAsia="楷体" w:hAnsi="楷体" w:cs="楷体" w:hint="eastAsia"/>
              </w:rPr>
              <w:t>年</w:t>
            </w:r>
            <w:r>
              <w:rPr>
                <w:rFonts w:ascii="楷体" w:eastAsia="楷体" w:hAnsi="楷体" w:cs="楷体" w:hint="eastAsia"/>
              </w:rPr>
              <w:t>11</w:t>
            </w:r>
            <w:r>
              <w:rPr>
                <w:rFonts w:ascii="楷体" w:eastAsia="楷体" w:hAnsi="楷体" w:cs="楷体" w:hint="eastAsia"/>
              </w:rPr>
              <w:t>月</w:t>
            </w:r>
            <w:r>
              <w:rPr>
                <w:rFonts w:ascii="楷体" w:eastAsia="楷体" w:hAnsi="楷体" w:cs="楷体" w:hint="eastAsia"/>
              </w:rPr>
              <w:t>14</w:t>
            </w:r>
            <w:r>
              <w:rPr>
                <w:rFonts w:ascii="楷体" w:eastAsia="楷体" w:hAnsi="楷体" w:cs="楷体" w:hint="eastAsia"/>
              </w:rPr>
              <w:t>日吉林省第八届人民代表大会常务委员会第三十四次会议《吉林省人民代表大会常务委员会关于修改</w:t>
            </w:r>
            <w:r>
              <w:rPr>
                <w:rFonts w:ascii="楷体" w:eastAsia="楷体" w:hAnsi="楷体" w:cs="楷体" w:hint="eastAsia"/>
              </w:rPr>
              <w:t>&lt;</w:t>
            </w:r>
            <w:r>
              <w:rPr>
                <w:rFonts w:ascii="楷体" w:eastAsia="楷体" w:hAnsi="楷体" w:cs="楷体" w:hint="eastAsia"/>
              </w:rPr>
              <w:t>吉林省个体工商户条例</w:t>
            </w:r>
            <w:r>
              <w:rPr>
                <w:rFonts w:ascii="楷体" w:eastAsia="楷体" w:hAnsi="楷体" w:cs="楷体" w:hint="eastAsia"/>
              </w:rPr>
              <w:t>&gt;</w:t>
            </w:r>
            <w:r>
              <w:rPr>
                <w:rFonts w:ascii="楷体" w:eastAsia="楷体" w:hAnsi="楷体" w:cs="楷体" w:hint="eastAsia"/>
              </w:rPr>
              <w:t>的决定》修改</w:t>
            </w:r>
            <w:r>
              <w:rPr>
                <w:rFonts w:ascii="楷体" w:eastAsia="楷体" w:hAnsi="楷体" w:cs="楷体" w:hint="eastAsia"/>
              </w:rPr>
              <w:t>根据</w:t>
            </w:r>
            <w:r>
              <w:rPr>
                <w:rFonts w:ascii="楷体" w:eastAsia="楷体" w:hAnsi="楷体" w:cs="楷体" w:hint="eastAsia"/>
              </w:rPr>
              <w:t>2001</w:t>
            </w:r>
            <w:r>
              <w:rPr>
                <w:rFonts w:ascii="楷体" w:eastAsia="楷体" w:hAnsi="楷体" w:cs="楷体" w:hint="eastAsia"/>
              </w:rPr>
              <w:t>年</w:t>
            </w:r>
            <w:r>
              <w:rPr>
                <w:rFonts w:ascii="楷体" w:eastAsia="楷体" w:hAnsi="楷体" w:cs="楷体" w:hint="eastAsia"/>
              </w:rPr>
              <w:t>1</w:t>
            </w:r>
            <w:r>
              <w:rPr>
                <w:rFonts w:ascii="楷体" w:eastAsia="楷体" w:hAnsi="楷体" w:cs="楷体" w:hint="eastAsia"/>
              </w:rPr>
              <w:t>月</w:t>
            </w:r>
            <w:r>
              <w:rPr>
                <w:rFonts w:ascii="楷体" w:eastAsia="楷体" w:hAnsi="楷体" w:cs="楷体" w:hint="eastAsia"/>
              </w:rPr>
              <w:t>12</w:t>
            </w:r>
            <w:r>
              <w:rPr>
                <w:rFonts w:ascii="楷体" w:eastAsia="楷体" w:hAnsi="楷体" w:cs="楷体" w:hint="eastAsia"/>
              </w:rPr>
              <w:t>日吉林省第九届人民代表大会常务委员会第二十一次会议审议通过《吉林省人民政府关于提请废止</w:t>
            </w:r>
            <w:r>
              <w:rPr>
                <w:rFonts w:ascii="楷体" w:eastAsia="楷体" w:hAnsi="楷体" w:cs="楷体" w:hint="eastAsia"/>
              </w:rPr>
              <w:t>5</w:t>
            </w:r>
            <w:r>
              <w:rPr>
                <w:rFonts w:ascii="楷体" w:eastAsia="楷体" w:hAnsi="楷体" w:cs="楷体" w:hint="eastAsia"/>
              </w:rPr>
              <w:t>件地方性法规、取消</w:t>
            </w:r>
            <w:r>
              <w:rPr>
                <w:rFonts w:ascii="楷体" w:eastAsia="楷体" w:hAnsi="楷体" w:cs="楷体" w:hint="eastAsia"/>
              </w:rPr>
              <w:t>27</w:t>
            </w:r>
            <w:r>
              <w:rPr>
                <w:rFonts w:ascii="楷体" w:eastAsia="楷体" w:hAnsi="楷体" w:cs="楷体" w:hint="eastAsia"/>
              </w:rPr>
              <w:t>件地方性法规中</w:t>
            </w:r>
            <w:r>
              <w:rPr>
                <w:rFonts w:ascii="楷体" w:eastAsia="楷体" w:hAnsi="楷体" w:cs="楷体" w:hint="eastAsia"/>
              </w:rPr>
              <w:t>60</w:t>
            </w:r>
            <w:r>
              <w:rPr>
                <w:rFonts w:ascii="楷体" w:eastAsia="楷体" w:hAnsi="楷体" w:cs="楷体" w:hint="eastAsia"/>
              </w:rPr>
              <w:t>项行政管理项目的议案》修改</w:t>
            </w:r>
            <w:r>
              <w:rPr>
                <w:rFonts w:ascii="楷体" w:eastAsia="楷体" w:hAnsi="楷体" w:cs="楷体" w:hint="eastAsia"/>
              </w:rPr>
              <w:t xml:space="preserve">  </w:t>
            </w:r>
            <w:r>
              <w:rPr>
                <w:rFonts w:ascii="楷体" w:eastAsia="楷体" w:hAnsi="楷体" w:cs="楷体" w:hint="eastAsia"/>
              </w:rPr>
              <w:t>根据</w:t>
            </w:r>
            <w:r>
              <w:rPr>
                <w:rFonts w:ascii="楷体" w:eastAsia="楷体" w:hAnsi="楷体" w:cs="楷体" w:hint="eastAsia"/>
              </w:rPr>
              <w:t>2010</w:t>
            </w:r>
            <w:r>
              <w:rPr>
                <w:rFonts w:ascii="楷体" w:eastAsia="楷体" w:hAnsi="楷体" w:cs="楷体" w:hint="eastAsia"/>
              </w:rPr>
              <w:t>年</w:t>
            </w:r>
            <w:r>
              <w:rPr>
                <w:rFonts w:ascii="楷体" w:eastAsia="楷体" w:hAnsi="楷体" w:cs="楷体" w:hint="eastAsia"/>
              </w:rPr>
              <w:t>11</w:t>
            </w:r>
            <w:r>
              <w:rPr>
                <w:rFonts w:ascii="楷体" w:eastAsia="楷体" w:hAnsi="楷体" w:cs="楷体" w:hint="eastAsia"/>
              </w:rPr>
              <w:t>月</w:t>
            </w:r>
            <w:r>
              <w:rPr>
                <w:rFonts w:ascii="楷体" w:eastAsia="楷体" w:hAnsi="楷体" w:cs="楷体" w:hint="eastAsia"/>
              </w:rPr>
              <w:t>26</w:t>
            </w:r>
            <w:r>
              <w:rPr>
                <w:rFonts w:ascii="楷体" w:eastAsia="楷体" w:hAnsi="楷体" w:cs="楷体" w:hint="eastAsia"/>
              </w:rPr>
              <w:t>日吉林省第十一届人民代表大会常务委员会第二十二次会议《吉林省人民代表大会常务委员会关于修改部分地方性法规的决定》修改</w:t>
            </w:r>
            <w:r>
              <w:rPr>
                <w:rFonts w:ascii="楷体" w:eastAsia="楷体" w:hAnsi="楷体" w:cs="楷体" w:hint="eastAsia"/>
              </w:rPr>
              <w:t xml:space="preserve"> </w:t>
            </w:r>
            <w:r>
              <w:rPr>
                <w:rFonts w:ascii="楷体" w:eastAsia="楷体" w:hAnsi="楷体" w:cs="楷体" w:hint="eastAsia"/>
              </w:rPr>
              <w:t>根据</w:t>
            </w:r>
            <w:r>
              <w:rPr>
                <w:rFonts w:ascii="楷体" w:eastAsia="楷体" w:hAnsi="楷体" w:cs="楷体" w:hint="eastAsia"/>
              </w:rPr>
              <w:t>2012</w:t>
            </w:r>
            <w:r>
              <w:rPr>
                <w:rFonts w:ascii="楷体" w:eastAsia="楷体" w:hAnsi="楷体" w:cs="楷体" w:hint="eastAsia"/>
              </w:rPr>
              <w:t>年</w:t>
            </w:r>
            <w:r>
              <w:rPr>
                <w:rFonts w:ascii="楷体" w:eastAsia="楷体" w:hAnsi="楷体" w:cs="楷体" w:hint="eastAsia"/>
              </w:rPr>
              <w:t>5</w:t>
            </w:r>
            <w:r>
              <w:rPr>
                <w:rFonts w:ascii="楷体" w:eastAsia="楷体" w:hAnsi="楷体" w:cs="楷体" w:hint="eastAsia"/>
              </w:rPr>
              <w:t>月</w:t>
            </w:r>
            <w:r>
              <w:rPr>
                <w:rFonts w:ascii="楷体" w:eastAsia="楷体" w:hAnsi="楷体" w:cs="楷体" w:hint="eastAsia"/>
              </w:rPr>
              <w:t>30</w:t>
            </w:r>
            <w:r>
              <w:rPr>
                <w:rFonts w:ascii="楷体" w:eastAsia="楷体" w:hAnsi="楷体" w:cs="楷体" w:hint="eastAsia"/>
              </w:rPr>
              <w:t>日吉林省第十一届人民代表大会常务委员会第三十二次会议《吉林省人民代表大会常务委员会关于修改部分地方性法规的决定》修改</w:t>
            </w:r>
            <w:r>
              <w:rPr>
                <w:rFonts w:ascii="楷体" w:eastAsia="楷体" w:hAnsi="楷体" w:cs="楷体" w:hint="eastAsia"/>
              </w:rPr>
              <w:t>)</w:t>
            </w:r>
          </w:p>
        </w:tc>
      </w:tr>
      <w:tr w:rsidR="00C367C6">
        <w:trPr>
          <w:trHeight w:val="375"/>
          <w:tblCellSpacing w:w="15" w:type="dxa"/>
        </w:trPr>
        <w:tc>
          <w:tcPr>
            <w:tcW w:w="8865" w:type="dxa"/>
            <w:vAlign w:val="center"/>
          </w:tcPr>
          <w:p w:rsidR="00C367C6" w:rsidRDefault="00C367C6">
            <w:pPr>
              <w:snapToGrid/>
              <w:spacing w:after="0" w:line="540" w:lineRule="atLeast"/>
              <w:ind w:firstLineChars="200" w:firstLine="632"/>
              <w:jc w:val="center"/>
              <w:rPr>
                <w:rFonts w:ascii="仿宋" w:hAnsi="仿宋" w:cs="仿宋"/>
              </w:rPr>
            </w:pPr>
          </w:p>
          <w:p w:rsidR="00C367C6" w:rsidRDefault="00C25156">
            <w:pPr>
              <w:snapToGrid/>
              <w:spacing w:after="0" w:line="540" w:lineRule="atLeast"/>
              <w:ind w:firstLineChars="200" w:firstLine="632"/>
              <w:jc w:val="center"/>
              <w:rPr>
                <w:rFonts w:ascii="楷体" w:eastAsia="楷体" w:hAnsi="楷体" w:cs="楷体"/>
              </w:rPr>
            </w:pPr>
            <w:r>
              <w:rPr>
                <w:rFonts w:ascii="楷体" w:eastAsia="楷体" w:hAnsi="楷体" w:cs="楷体" w:hint="eastAsia"/>
              </w:rPr>
              <w:t>目</w:t>
            </w:r>
            <w:r>
              <w:rPr>
                <w:rFonts w:ascii="楷体" w:eastAsia="楷体" w:hAnsi="楷体" w:cs="楷体" w:hint="eastAsia"/>
              </w:rPr>
              <w:t xml:space="preserve">  </w:t>
            </w:r>
            <w:r>
              <w:rPr>
                <w:rFonts w:ascii="楷体" w:eastAsia="楷体" w:hAnsi="楷体" w:cs="楷体" w:hint="eastAsia"/>
              </w:rPr>
              <w:t>录</w:t>
            </w:r>
          </w:p>
          <w:p w:rsidR="00C367C6" w:rsidRDefault="00C25156">
            <w:pPr>
              <w:snapToGrid/>
              <w:spacing w:after="0" w:line="540" w:lineRule="atLeast"/>
              <w:ind w:firstLineChars="200" w:firstLine="632"/>
              <w:jc w:val="both"/>
              <w:rPr>
                <w:rFonts w:ascii="楷体" w:eastAsia="楷体" w:hAnsi="楷体" w:cs="楷体"/>
              </w:rPr>
            </w:pPr>
            <w:r>
              <w:rPr>
                <w:rFonts w:ascii="楷体" w:eastAsia="楷体" w:hAnsi="楷体" w:cs="楷体" w:hint="eastAsia"/>
              </w:rPr>
              <w:t>第一章　总则</w:t>
            </w:r>
          </w:p>
          <w:p w:rsidR="00C367C6" w:rsidRDefault="00C25156">
            <w:pPr>
              <w:snapToGrid/>
              <w:spacing w:after="0" w:line="540" w:lineRule="atLeast"/>
              <w:ind w:firstLineChars="200" w:firstLine="632"/>
              <w:jc w:val="both"/>
              <w:rPr>
                <w:rFonts w:ascii="楷体" w:eastAsia="楷体" w:hAnsi="楷体" w:cs="楷体"/>
              </w:rPr>
            </w:pPr>
            <w:r>
              <w:rPr>
                <w:rFonts w:ascii="楷体" w:eastAsia="楷体" w:hAnsi="楷体" w:cs="楷体" w:hint="eastAsia"/>
              </w:rPr>
              <w:t>第二章　登记注册</w:t>
            </w:r>
          </w:p>
          <w:p w:rsidR="00C367C6" w:rsidRDefault="00C25156">
            <w:pPr>
              <w:snapToGrid/>
              <w:spacing w:after="0" w:line="540" w:lineRule="atLeast"/>
              <w:ind w:firstLineChars="200" w:firstLine="632"/>
              <w:jc w:val="both"/>
              <w:rPr>
                <w:rFonts w:ascii="楷体" w:eastAsia="楷体" w:hAnsi="楷体" w:cs="楷体"/>
              </w:rPr>
            </w:pPr>
            <w:r>
              <w:rPr>
                <w:rFonts w:ascii="楷体" w:eastAsia="楷体" w:hAnsi="楷体" w:cs="楷体" w:hint="eastAsia"/>
              </w:rPr>
              <w:lastRenderedPageBreak/>
              <w:t xml:space="preserve">第三章　</w:t>
            </w:r>
            <w:r>
              <w:rPr>
                <w:rFonts w:ascii="楷体" w:eastAsia="楷体" w:hAnsi="楷体" w:cs="楷体" w:hint="eastAsia"/>
              </w:rPr>
              <w:t>权利和义务</w:t>
            </w:r>
          </w:p>
          <w:p w:rsidR="00C367C6" w:rsidRDefault="00C25156">
            <w:pPr>
              <w:snapToGrid/>
              <w:spacing w:after="0" w:line="540" w:lineRule="atLeast"/>
              <w:ind w:firstLineChars="200" w:firstLine="632"/>
              <w:jc w:val="both"/>
              <w:rPr>
                <w:rFonts w:ascii="楷体" w:eastAsia="楷体" w:hAnsi="楷体" w:cs="楷体"/>
              </w:rPr>
            </w:pPr>
            <w:r>
              <w:rPr>
                <w:rFonts w:ascii="楷体" w:eastAsia="楷体" w:hAnsi="楷体" w:cs="楷体" w:hint="eastAsia"/>
              </w:rPr>
              <w:t>第四章　鼓励和保护</w:t>
            </w:r>
          </w:p>
          <w:p w:rsidR="00C367C6" w:rsidRDefault="00C25156">
            <w:pPr>
              <w:snapToGrid/>
              <w:spacing w:after="0" w:line="540" w:lineRule="atLeast"/>
              <w:ind w:firstLineChars="200" w:firstLine="632"/>
              <w:jc w:val="both"/>
              <w:rPr>
                <w:rFonts w:ascii="楷体" w:eastAsia="楷体" w:hAnsi="楷体" w:cs="楷体"/>
              </w:rPr>
            </w:pPr>
            <w:r>
              <w:rPr>
                <w:rFonts w:ascii="楷体" w:eastAsia="楷体" w:hAnsi="楷体" w:cs="楷体" w:hint="eastAsia"/>
              </w:rPr>
              <w:t>第五章　监督管理</w:t>
            </w:r>
          </w:p>
          <w:p w:rsidR="00C367C6" w:rsidRDefault="00C25156">
            <w:pPr>
              <w:snapToGrid/>
              <w:spacing w:after="0" w:line="540" w:lineRule="atLeast"/>
              <w:ind w:firstLineChars="200" w:firstLine="632"/>
              <w:jc w:val="both"/>
              <w:rPr>
                <w:rFonts w:ascii="楷体" w:eastAsia="楷体" w:hAnsi="楷体" w:cs="楷体"/>
              </w:rPr>
            </w:pPr>
            <w:r>
              <w:rPr>
                <w:rFonts w:ascii="楷体" w:eastAsia="楷体" w:hAnsi="楷体" w:cs="楷体" w:hint="eastAsia"/>
              </w:rPr>
              <w:t>第六章　法律责任</w:t>
            </w:r>
          </w:p>
          <w:p w:rsidR="00C367C6" w:rsidRDefault="00C25156">
            <w:pPr>
              <w:snapToGrid/>
              <w:spacing w:after="0" w:line="540" w:lineRule="atLeast"/>
              <w:ind w:firstLineChars="200" w:firstLine="632"/>
              <w:jc w:val="both"/>
              <w:rPr>
                <w:rFonts w:ascii="楷体" w:eastAsia="楷体" w:hAnsi="楷体" w:cs="楷体"/>
              </w:rPr>
            </w:pPr>
            <w:r>
              <w:rPr>
                <w:rFonts w:ascii="楷体" w:eastAsia="楷体" w:hAnsi="楷体" w:cs="楷体" w:hint="eastAsia"/>
              </w:rPr>
              <w:t>第七章　附则</w:t>
            </w:r>
          </w:p>
          <w:p w:rsidR="00C367C6" w:rsidRDefault="00C367C6">
            <w:pPr>
              <w:snapToGrid/>
              <w:spacing w:after="0" w:line="540" w:lineRule="atLeast"/>
              <w:ind w:firstLineChars="200" w:firstLine="632"/>
              <w:jc w:val="both"/>
              <w:rPr>
                <w:rFonts w:ascii="楷体" w:eastAsia="楷体" w:hAnsi="楷体" w:cs="楷体"/>
              </w:rPr>
            </w:pPr>
          </w:p>
          <w:p w:rsidR="00C367C6" w:rsidRDefault="00C25156">
            <w:pPr>
              <w:snapToGrid/>
              <w:spacing w:after="0" w:line="300" w:lineRule="auto"/>
              <w:ind w:firstLineChars="200" w:firstLine="632"/>
              <w:jc w:val="center"/>
              <w:rPr>
                <w:rFonts w:ascii="仿宋" w:hAnsi="仿宋" w:cs="仿宋"/>
              </w:rPr>
            </w:pPr>
            <w:r>
              <w:rPr>
                <w:rFonts w:ascii="黑体" w:eastAsia="黑体" w:hAnsi="黑体" w:cs="黑体" w:hint="eastAsia"/>
              </w:rPr>
              <w:t>第一章　总则</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仿宋" w:hAnsi="仿宋" w:cs="仿宋"/>
              </w:rPr>
            </w:pPr>
          </w:p>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第一条</w:t>
            </w:r>
            <w:r>
              <w:rPr>
                <w:rFonts w:ascii="仿宋" w:hAnsi="仿宋" w:cs="仿宋" w:hint="eastAsia"/>
              </w:rPr>
              <w:t xml:space="preserve">　为了促进个体经济的发展，充分发挥个体经济在我省国民经济中的积极作用，保障个体工商户的合法权益，规范其生产、经营行为，根据法律、法规有关规定，结合本省实际情况，制定本条例。</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第二条</w:t>
            </w:r>
            <w:r>
              <w:rPr>
                <w:rFonts w:ascii="仿宋" w:hAnsi="仿宋" w:cs="仿宋" w:hint="eastAsia"/>
              </w:rPr>
              <w:t xml:space="preserve">　凡在吉林省行政区域内从事个体生产、经营、服务以及与之相关活动的单位和个人均应遵守本条例。</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第三条</w:t>
            </w:r>
            <w:r>
              <w:rPr>
                <w:rFonts w:ascii="仿宋" w:hAnsi="仿宋" w:cs="仿宋" w:hint="eastAsia"/>
              </w:rPr>
              <w:t xml:space="preserve">　公民在法律允许范围内，经工商行政管理部门核准登记，从事工商业及其他行业生产经营的，为个体工商户。</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凡年龄在十六周岁以上，有经营能力、有与生产经营相适应的资金和场地的城镇居民、农村村民以及国家政策允许的其他人员，均可以申请从事个体生产经营活动。</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第四条</w:t>
            </w:r>
            <w:r>
              <w:rPr>
                <w:rFonts w:ascii="仿宋" w:hAnsi="仿宋" w:cs="仿宋" w:hint="eastAsia"/>
              </w:rPr>
              <w:t xml:space="preserve">　个体工商户可以个人经营，也可以家庭经营。个人经营的，以个人全部财产承担民事责任；家庭经营的，以家庭全部财产承担民事责任。</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第五条</w:t>
            </w:r>
            <w:r>
              <w:rPr>
                <w:rFonts w:ascii="仿宋" w:hAnsi="仿宋" w:cs="仿宋" w:hint="eastAsia"/>
              </w:rPr>
              <w:t xml:space="preserve">　个体工商户的合法权益受法律保护，任何单位和</w:t>
            </w:r>
            <w:r>
              <w:rPr>
                <w:rFonts w:ascii="仿宋" w:hAnsi="仿宋" w:cs="仿宋" w:hint="eastAsia"/>
              </w:rPr>
              <w:lastRenderedPageBreak/>
              <w:t>个人不得侵害。</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第六条</w:t>
            </w:r>
            <w:r>
              <w:rPr>
                <w:rFonts w:ascii="仿宋" w:hAnsi="仿宋" w:cs="仿宋" w:hint="eastAsia"/>
              </w:rPr>
              <w:t xml:space="preserve">　各级人民政府应当坚持公有制经济为主体，多种经济成份长期共同发展的方针和公平竞争的原则，为个体经济的发展创造良好的条件和环境。</w:t>
            </w:r>
          </w:p>
          <w:p w:rsidR="00C367C6" w:rsidRDefault="00C367C6">
            <w:pPr>
              <w:snapToGrid/>
              <w:spacing w:after="0" w:line="300" w:lineRule="auto"/>
              <w:ind w:firstLineChars="200" w:firstLine="632"/>
              <w:jc w:val="both"/>
              <w:rPr>
                <w:rFonts w:ascii="仿宋" w:hAnsi="仿宋" w:cs="仿宋"/>
              </w:rPr>
            </w:pP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center"/>
              <w:rPr>
                <w:rFonts w:ascii="黑体" w:eastAsia="黑体" w:hAnsi="黑体" w:cs="黑体"/>
              </w:rPr>
            </w:pPr>
            <w:r>
              <w:rPr>
                <w:rFonts w:ascii="黑体" w:eastAsia="黑体" w:hAnsi="黑体" w:cs="黑体" w:hint="eastAsia"/>
              </w:rPr>
              <w:t>第二章　登记注册</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第七条</w:t>
            </w:r>
            <w:r>
              <w:rPr>
                <w:rFonts w:ascii="仿宋" w:hAnsi="仿宋" w:cs="仿宋" w:hint="eastAsia"/>
              </w:rPr>
              <w:t xml:space="preserve">　申请从事个体生产经营活动的公民，可持身份证明向所在地工商行政管理部门申请登记注册。法律、法规规定生产经营者需要具备特定条件并需经特别审批的，申请登记注册时，还应提交相应的批准文件和证件。</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第八条</w:t>
            </w:r>
            <w:r>
              <w:rPr>
                <w:rFonts w:ascii="仿宋" w:hAnsi="仿宋" w:cs="仿宋" w:hint="eastAsia"/>
              </w:rPr>
              <w:t xml:space="preserve">　个体工商户须登记的主要项目包括</w:t>
            </w:r>
            <w:r>
              <w:rPr>
                <w:rFonts w:ascii="仿宋" w:hAnsi="仿宋" w:cs="仿宋" w:hint="eastAsia"/>
              </w:rPr>
              <w:t>:</w:t>
            </w:r>
            <w:r>
              <w:rPr>
                <w:rFonts w:ascii="仿宋" w:hAnsi="仿宋" w:cs="仿宋" w:hint="eastAsia"/>
              </w:rPr>
              <w:t>名称、经营者姓名及住所、从业人数、资金数额、组成形式、经营范围、经营方式、经营地址等。</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第九条</w:t>
            </w:r>
            <w:r>
              <w:rPr>
                <w:rFonts w:ascii="仿宋" w:hAnsi="仿宋" w:cs="仿宋" w:hint="eastAsia"/>
              </w:rPr>
              <w:t xml:space="preserve">　公民可依法自主选择申请从事工业、手工业、建筑业、交通运输业、商业、饮食业、服务业、修理业、信息业、广告业、信托寄卖业、废旧物回收利用业、养殖业、种植业和教育、科研、文化、体育、</w:t>
            </w:r>
            <w:r>
              <w:rPr>
                <w:rFonts w:ascii="仿宋" w:hAnsi="仿宋" w:cs="仿宋" w:hint="eastAsia"/>
              </w:rPr>
              <w:t>旅游业及其他行业和事业；但法律、法规规定个体工商户不得从事生产经营的行业和项目除外。</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第十条</w:t>
            </w:r>
            <w:r>
              <w:rPr>
                <w:rFonts w:ascii="仿宋" w:hAnsi="仿宋" w:cs="仿宋" w:hint="eastAsia"/>
              </w:rPr>
              <w:t xml:space="preserve">　个体工商户可以采取下列生产经营方式</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（一）自产自销、代购代销、来料加工、批发零售；</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（二）承包、租赁</w:t>
            </w:r>
            <w:bookmarkStart w:id="0" w:name="_GoBack"/>
            <w:bookmarkEnd w:id="0"/>
            <w:r>
              <w:rPr>
                <w:rFonts w:ascii="仿宋" w:hAnsi="仿宋" w:cs="仿宋" w:hint="eastAsia"/>
              </w:rPr>
              <w:t>国有企业、集体企业；</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lastRenderedPageBreak/>
              <w:t>（三）跨行业、跨地区和境外经营；</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（四）与其他经济实体联合经营；</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（五）中介服务；</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（六）投资入股；</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（七）法律允许的其他经营方式。</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第十一条</w:t>
            </w:r>
            <w:r>
              <w:rPr>
                <w:rFonts w:ascii="仿宋" w:hAnsi="仿宋" w:cs="仿宋" w:hint="eastAsia"/>
              </w:rPr>
              <w:t xml:space="preserve">　工商行政管理部门在接到申请登记表十五日内，对符合条件的予以登记注册，发给营业执照；对不符合条件的，不予登记，书面通知申请人，并载明理由。</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第十二条</w:t>
            </w:r>
            <w:r>
              <w:rPr>
                <w:rFonts w:ascii="仿宋" w:hAnsi="仿宋" w:cs="仿宋" w:hint="eastAsia"/>
              </w:rPr>
              <w:t xml:space="preserve">　依法负责审查特定条件和行使特别批准权的行政部门，除法律、法规有特别规定者外，应收到申请表（书）之日起十五日内予以办理（因特殊情况可延长十五日）</w:t>
            </w:r>
            <w:r>
              <w:rPr>
                <w:rFonts w:ascii="仿宋" w:hAnsi="仿宋" w:cs="仿宋" w:hint="eastAsia"/>
              </w:rPr>
              <w:t>o</w:t>
            </w:r>
            <w:r>
              <w:rPr>
                <w:rFonts w:ascii="仿宋" w:hAnsi="仿宋" w:cs="仿宋" w:hint="eastAsia"/>
              </w:rPr>
              <w:t>符合条件的，予以批准并发给批准文件；不予批准的，书面通知申请人并载明理由。</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第十三条</w:t>
            </w:r>
            <w:r>
              <w:rPr>
                <w:rFonts w:ascii="仿宋" w:hAnsi="仿宋" w:cs="仿宋" w:hint="eastAsia"/>
              </w:rPr>
              <w:t xml:space="preserve">　个体工商户应在领取营业执照之日起三十日内，到当地税务部门办理税务登记。</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第十四条</w:t>
            </w:r>
            <w:r>
              <w:rPr>
                <w:rFonts w:ascii="仿宋" w:hAnsi="仿宋" w:cs="仿宋" w:hint="eastAsia"/>
              </w:rPr>
              <w:t xml:space="preserve">　个体工商户营业执照及其副本，由县级以上工商行</w:t>
            </w:r>
            <w:r>
              <w:rPr>
                <w:rFonts w:ascii="仿宋" w:hAnsi="仿宋" w:cs="仿宋" w:hint="eastAsia"/>
              </w:rPr>
              <w:t>政管理部门核发。</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第十五条</w:t>
            </w:r>
            <w:r>
              <w:rPr>
                <w:rFonts w:ascii="仿宋" w:hAnsi="仿宋" w:cs="仿宋" w:hint="eastAsia"/>
              </w:rPr>
              <w:t xml:space="preserve">　个体工商户有下列情况之一的，应当办理变更登记</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（一）改变生产经营场地或地址；</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（二）改变名称；</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（三）改变生产经营范围。</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第十六条</w:t>
            </w:r>
            <w:r>
              <w:rPr>
                <w:rFonts w:ascii="仿宋" w:hAnsi="仿宋" w:cs="仿宋" w:hint="eastAsia"/>
              </w:rPr>
              <w:t xml:space="preserve">　个体工商户有下列情况之一的，应当重新办理登记</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（一）改变业主；</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（二）迁移到原登记管理部门辖区以外；</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（三）分立、合并。</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第十七条</w:t>
            </w:r>
            <w:r>
              <w:rPr>
                <w:rFonts w:ascii="仿宋" w:hAnsi="仿宋" w:cs="仿宋" w:hint="eastAsia"/>
              </w:rPr>
              <w:t xml:space="preserve">　个体工商户营业执照有效期满，需要继续生产、经营的，应到原发照部门换发营业执照。</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第十八条</w:t>
            </w:r>
            <w:r>
              <w:rPr>
                <w:rFonts w:ascii="仿宋" w:hAnsi="仿宋" w:cs="仿宋" w:hint="eastAsia"/>
              </w:rPr>
              <w:t xml:space="preserve">　个体工商户因故一个月以上不能正常经营需要停业的，应办理停业登记。</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第十九条</w:t>
            </w:r>
            <w:r>
              <w:rPr>
                <w:rFonts w:ascii="仿宋" w:hAnsi="仿宋" w:cs="仿宋" w:hint="eastAsia"/>
              </w:rPr>
              <w:t xml:space="preserve">　个体工商户歇业或终止生产经营的，应当办理注销登记。</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第二十条</w:t>
            </w:r>
            <w:r>
              <w:rPr>
                <w:rFonts w:ascii="仿宋" w:hAnsi="仿宋" w:cs="仿宋" w:hint="eastAsia"/>
              </w:rPr>
              <w:t xml:space="preserve">　个体工商户申请办理变更登记、重新登记、停业登记的，均应向原登记注册部门提出书面申请，交回营业执照及副本、营业用图章。停业登记停业期满，应在开业前十日领回营业执照及副本、营业用图章。</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个体工商户申请办理注销登记应提前三十日持完税、债权债务清理情况说明，向原登记注册部门提出申请办理注销登记手续。工商行政管理部门应收缴其营业执照及副本、营业用图章，通知开户银行和税务部门注销帐号和税务登记。</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工商行政管理部门办理变更登记、重新登记、停业登记和注销登记时，应当在接到申请表（书）之日起十五日内办理终结。</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第二十一条</w:t>
            </w:r>
            <w:r>
              <w:rPr>
                <w:rFonts w:ascii="仿宋" w:hAnsi="仿宋" w:cs="仿宋" w:hint="eastAsia"/>
              </w:rPr>
              <w:t xml:space="preserve">　个体工商户异地（原核准登记注册部门管辖</w:t>
            </w:r>
            <w:r>
              <w:rPr>
                <w:rFonts w:ascii="仿宋" w:hAnsi="仿宋" w:cs="仿宋" w:hint="eastAsia"/>
              </w:rPr>
              <w:lastRenderedPageBreak/>
              <w:t>外）经营时，须持外出经营证和原营业执照到新经营地工商行政管理部门更换营业执照。</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第二十二条</w:t>
            </w:r>
            <w:r>
              <w:rPr>
                <w:rFonts w:ascii="仿宋" w:hAnsi="仿宋" w:cs="仿宋" w:hint="eastAsia"/>
              </w:rPr>
              <w:t xml:space="preserve">　个体工商户办理变更登记和重新登记时，法律、法规规定其需具备特定条件并需经特别审批的，应向负责审查特定条件和行使特别批准权的行政部门申请批准。</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第二十三条</w:t>
            </w:r>
            <w:r>
              <w:rPr>
                <w:rFonts w:ascii="仿宋" w:hAnsi="仿宋" w:cs="仿宋" w:hint="eastAsia"/>
              </w:rPr>
              <w:t xml:space="preserve">　个体工商户遗失营业执照，须向原发照部门报告，并登报挂失，申请补发。</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 xml:space="preserve">第二十四条　</w:t>
            </w:r>
            <w:r>
              <w:rPr>
                <w:rFonts w:ascii="仿宋" w:hAnsi="仿宋" w:cs="仿宋" w:hint="eastAsia"/>
              </w:rPr>
              <w:t>个体工商户每年必须</w:t>
            </w:r>
            <w:r>
              <w:rPr>
                <w:rFonts w:ascii="仿宋" w:hAnsi="仿宋" w:cs="仿宋" w:hint="eastAsia"/>
              </w:rPr>
              <w:t>在工商行政管理部门规定的时限内到原发照部门年检验照，对年检合格的，由发照部门粘贴标志。</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工商行政管理部门应在年检前</w:t>
            </w:r>
            <w:r>
              <w:rPr>
                <w:rFonts w:ascii="仿宋" w:hAnsi="仿宋" w:cs="仿宋" w:hint="eastAsia"/>
              </w:rPr>
              <w:t>三十</w:t>
            </w:r>
            <w:r>
              <w:rPr>
                <w:rFonts w:ascii="仿宋" w:hAnsi="仿宋" w:cs="仿宋" w:hint="eastAsia"/>
              </w:rPr>
              <w:t>日，通过新闻媒介、张贴布告或书面通知等方式公告年检期限。</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第二十五条</w:t>
            </w:r>
            <w:r>
              <w:rPr>
                <w:rFonts w:ascii="仿宋" w:hAnsi="仿宋" w:cs="仿宋" w:hint="eastAsia"/>
              </w:rPr>
              <w:t xml:space="preserve">　个体工商户被吊销营业执照的，工商行政管理部门六个月之内不受理其重新登记申请。</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center"/>
              <w:rPr>
                <w:rFonts w:ascii="黑体" w:eastAsia="黑体" w:hAnsi="黑体" w:cs="黑体"/>
              </w:rPr>
            </w:pPr>
            <w:r>
              <w:rPr>
                <w:rFonts w:ascii="黑体" w:eastAsia="黑体" w:hAnsi="黑体" w:cs="黑体" w:hint="eastAsia"/>
              </w:rPr>
              <w:t>第三章　权利和义务</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第二十六条</w:t>
            </w:r>
            <w:r>
              <w:rPr>
                <w:rFonts w:ascii="仿宋" w:hAnsi="仿宋" w:cs="仿宋" w:hint="eastAsia"/>
              </w:rPr>
              <w:t xml:space="preserve">　个体工商户享有下列权利</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（一）核准登记名称的专用权；</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（二）在核准登记的范围内依法自主经营；</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（三）提出变更、停业、歇业申请；</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（四）参加技术职称评定；</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（五）聘用劳动者；</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lastRenderedPageBreak/>
              <w:t>（六）依法自主决定劳动报酬和收入分配；</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（七）自行制定商品价格和服务收费标准（国家定价、限价部分除外）；</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（八）依法订立、变更或解除经济合同；</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（九）开展广告宣传、申请产品鉴定、举办商品展销会、定货会；</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（十）申请取得专利和注册商标专用权；</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（十一）对其财产享有占有、使用、收益和处分权；</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（十二）要求公开各种收费的依据和标准，索要交款收据；</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（十三）兼并、购买国有企业或集体企业；</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（十四）开展对外经济贸易活动；</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（十五）法律、法规赋予的其他权利。</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第二十七条</w:t>
            </w:r>
            <w:r>
              <w:rPr>
                <w:rFonts w:ascii="仿宋" w:hAnsi="仿宋" w:cs="仿宋" w:hint="eastAsia"/>
              </w:rPr>
              <w:t xml:space="preserve">　个体工商户应承担下列义务</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（一）申请从事生产经营时，向批准和登记部门提供真实情况和证件、文件；</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（二）按照工商行政管理部门核准的登记事项从事生产经营活动；</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（三）明码标价、亮照（证）经营、人照（证）相符；</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（四）诚实守信、正当竞争、文明服务，不损害消费者的合法权益；</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（五）履行合同，偿还债务；</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lastRenderedPageBreak/>
              <w:t>（六）与聘用的劳动者签订劳动合同，约定双方权利和义务；</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（七）为在有害和危险行业、场所从事劳动的劳动者提供劳动保护和人身保险；</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（八）按时缴</w:t>
            </w:r>
            <w:r>
              <w:rPr>
                <w:rFonts w:ascii="仿宋" w:hAnsi="仿宋" w:cs="仿宋" w:hint="eastAsia"/>
              </w:rPr>
              <w:t>纳</w:t>
            </w:r>
            <w:r>
              <w:rPr>
                <w:rFonts w:ascii="仿宋" w:hAnsi="仿宋" w:cs="仿宋" w:hint="eastAsia"/>
              </w:rPr>
              <w:t>税；</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（九）自觉接受国家行政管理部门的监督、管理和消费者的监督；</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（十）法律、法规规定的其他义务。</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第二十八条</w:t>
            </w:r>
            <w:r>
              <w:rPr>
                <w:rFonts w:ascii="仿宋" w:hAnsi="仿宋" w:cs="仿宋" w:hint="eastAsia"/>
              </w:rPr>
              <w:t xml:space="preserve">　个体工商户不得从事下列活动</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（一）诈骗、走私、贩私、贩毒、倒卖文物；</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（二）制造、销售假冒伪劣商品；</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（三）短尺少秤、哄抬物价、牟取暴利、强买强卖、欺行霸市，强拉、拒载乘客和货物，欺诈消费者；</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（四）印制、播放、出租、出售反动淫秽书刊、图片、音像制品；</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（五）出租、出借、转让、出卖、涂改、伪造营业执照及其副本；</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（六）租借或转卖帐户、发票、营业用章，开具假发票；</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（七）招用童工和在校中、小学生；</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（八）虐待、侮辱所聘用的劳动者或引诱、胁迫其从事违法活动；</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（九）以国家机关、企业事业单位名义登记注册，从事生</w:t>
            </w:r>
            <w:r>
              <w:rPr>
                <w:rFonts w:ascii="仿宋" w:hAnsi="仿宋" w:cs="仿宋" w:hint="eastAsia"/>
              </w:rPr>
              <w:lastRenderedPageBreak/>
              <w:t>产经营活动；</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lastRenderedPageBreak/>
              <w:t>（十）无理取闹、煽动制造事端，扰乱市场正常秩序；</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（十一）偷税、漏税、逃税、抗税、骗税；</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（十二）拒绝、阻碍公职人员执行公务；</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（十三）隐匿、包庇、纵容违法活动和为其提供方便条件；</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（十四）法律、法规禁止的其他活动。</w:t>
            </w:r>
          </w:p>
          <w:p w:rsidR="00C367C6" w:rsidRDefault="00C367C6">
            <w:pPr>
              <w:snapToGrid/>
              <w:spacing w:after="0" w:line="300" w:lineRule="auto"/>
              <w:ind w:firstLineChars="200" w:firstLine="632"/>
              <w:jc w:val="both"/>
              <w:rPr>
                <w:rFonts w:ascii="仿宋" w:hAnsi="仿宋" w:cs="仿宋"/>
              </w:rPr>
            </w:pP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center"/>
              <w:rPr>
                <w:rFonts w:ascii="仿宋" w:hAnsi="仿宋" w:cs="仿宋"/>
              </w:rPr>
            </w:pPr>
            <w:r>
              <w:rPr>
                <w:rFonts w:ascii="黑体" w:eastAsia="黑体" w:hAnsi="黑体" w:cs="黑体" w:hint="eastAsia"/>
              </w:rPr>
              <w:t>第四章　鼓励和保护</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第二十九条</w:t>
            </w:r>
            <w:r>
              <w:rPr>
                <w:rFonts w:ascii="仿宋" w:hAnsi="仿宋" w:cs="仿宋" w:hint="eastAsia"/>
              </w:rPr>
              <w:t xml:space="preserve">　各级人民政府对促进本地区经济发展有突出贡献，出口创汇信誉好、效益高，能吸引利用国外高新技术、先进设备、特殊人才、大量资金的个体工商户，应当给予优惠政策和奖励。</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第三十条</w:t>
            </w:r>
            <w:r>
              <w:rPr>
                <w:rFonts w:ascii="仿宋" w:hAnsi="仿宋" w:cs="仿宋" w:hint="eastAsia"/>
              </w:rPr>
              <w:t xml:space="preserve">　对个体工商户中的残疾人员、社会救济人员、因遭受自然灾害和其他原因而生产经营困难人员，税务部门应依法减、缓、免征税。</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第三十一条</w:t>
            </w:r>
            <w:r>
              <w:rPr>
                <w:rFonts w:ascii="仿宋" w:hAnsi="仿宋" w:cs="仿宋" w:hint="eastAsia"/>
              </w:rPr>
              <w:t xml:space="preserve">　对当地急需而市场短缺的商品，工商行政管理部门可以在个体工商户登记的经营范围以外，批准其一次性经营。</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第三十二条</w:t>
            </w:r>
            <w:r>
              <w:rPr>
                <w:rFonts w:ascii="仿宋" w:hAnsi="仿宋" w:cs="仿宋" w:hint="eastAsia"/>
              </w:rPr>
              <w:t xml:space="preserve">　金融部门在个体工商户申请贷款时，应按国家有关规定和信贷原则给予支持。</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第三十三条</w:t>
            </w:r>
            <w:r>
              <w:rPr>
                <w:rFonts w:ascii="仿宋" w:hAnsi="仿宋" w:cs="仿宋" w:hint="eastAsia"/>
              </w:rPr>
              <w:t xml:space="preserve">　依法对个体工商户实施监督管理的行政管理</w:t>
            </w:r>
            <w:r>
              <w:rPr>
                <w:rFonts w:ascii="仿宋" w:hAnsi="仿宋" w:cs="仿宋" w:hint="eastAsia"/>
              </w:rPr>
              <w:lastRenderedPageBreak/>
              <w:t>部门，在办理批准登记手续和进行日常监督管理中，不得违反法律、法规规定设定条件、程序、义务和责任。</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第三十四条</w:t>
            </w:r>
            <w:r>
              <w:rPr>
                <w:rFonts w:ascii="仿宋" w:hAnsi="仿宋" w:cs="仿宋" w:hint="eastAsia"/>
              </w:rPr>
              <w:t xml:space="preserve">　除国家和省人民政府规定的项目外，任何单位不得擅自向个体工商户收费和摊派人力、物力、财力。</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第三十五条</w:t>
            </w:r>
            <w:r>
              <w:rPr>
                <w:rFonts w:ascii="仿宋" w:hAnsi="仿宋" w:cs="仿宋" w:hint="eastAsia"/>
              </w:rPr>
              <w:t xml:space="preserve">　任何单位和个人不得对个体工商户的正常生产经营活动实施封锁、垄断，不得向个体工商户强行摊派、推销、搭售商品，不得违反规定强行有偿服务。</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第三十六条</w:t>
            </w:r>
            <w:r>
              <w:rPr>
                <w:rFonts w:ascii="仿宋" w:hAnsi="仿宋" w:cs="仿宋" w:hint="eastAsia"/>
              </w:rPr>
              <w:t xml:space="preserve">　对个体工商户经批准使用的生产经营场地及营业用户，有关部门不得擅自收回、拆除或侵占。因城乡建设需要征用时，建设单位应当负责妥善安置，并承担拆迁补偿，造成损失的按规定给予经济赔偿。</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center"/>
              <w:rPr>
                <w:rFonts w:ascii="黑体" w:eastAsia="黑体" w:hAnsi="黑体" w:cs="黑体"/>
              </w:rPr>
            </w:pPr>
            <w:r>
              <w:rPr>
                <w:rFonts w:ascii="黑体" w:eastAsia="黑体" w:hAnsi="黑体" w:cs="黑体" w:hint="eastAsia"/>
              </w:rPr>
              <w:t>第五章　监督管理</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第三十七条</w:t>
            </w:r>
            <w:r>
              <w:rPr>
                <w:rFonts w:ascii="仿宋" w:hAnsi="仿宋" w:cs="仿宋" w:hint="eastAsia"/>
              </w:rPr>
              <w:t xml:space="preserve">　工商行政管理部门是个体工商户的综合监督管理部门，负责对个体工商户的监督管理。</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各有关行政管理部门，依据各自的职权对个体工商户进行监督管理。</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第三十八条</w:t>
            </w:r>
            <w:r>
              <w:rPr>
                <w:rFonts w:ascii="仿宋" w:hAnsi="仿宋" w:cs="仿宋" w:hint="eastAsia"/>
              </w:rPr>
              <w:t xml:space="preserve">　各监督管理部门应当完善和公开办理制度，简化程序，提高效率；对个体工商户进行监督管理时，应出示证件，依法文明行使职权。</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第三十九条</w:t>
            </w:r>
            <w:r>
              <w:rPr>
                <w:rFonts w:ascii="仿宋" w:hAnsi="仿宋" w:cs="仿宋" w:hint="eastAsia"/>
              </w:rPr>
              <w:t xml:space="preserve">　有关行</w:t>
            </w:r>
            <w:r>
              <w:rPr>
                <w:rFonts w:ascii="仿宋" w:hAnsi="仿宋" w:cs="仿宋" w:hint="eastAsia"/>
              </w:rPr>
              <w:t>政监督管理部门在实施监督管理中，可依法行使下列职权</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lastRenderedPageBreak/>
              <w:t>（一）询问行政管理相对人、利害关系人、证明人，并要求提供</w:t>
            </w:r>
            <w:r w:rsidRPr="000779B7">
              <w:rPr>
                <w:rFonts w:ascii="仿宋" w:hAnsi="仿宋" w:cs="仿宋" w:hint="eastAsia"/>
              </w:rPr>
              <w:t>真实</w:t>
            </w:r>
            <w:r>
              <w:rPr>
                <w:rFonts w:ascii="仿宋" w:hAnsi="仿宋" w:cs="仿宋" w:hint="eastAsia"/>
              </w:rPr>
              <w:t>材料及有关的资料；</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（二）查阅、复制有关单据、记录、帐表、协议、文件、业务函电等；</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（三）提取检验、化验、鉴定所用的货物样品；</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（四）检查经营仓储场所，责令停业整顿</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第四十条</w:t>
            </w:r>
            <w:r>
              <w:rPr>
                <w:rFonts w:ascii="仿宋" w:hAnsi="仿宋" w:cs="仿宋" w:hint="eastAsia"/>
              </w:rPr>
              <w:t xml:space="preserve">　个体劳动者协会负责协助配合行政管理部门对个体工商户会员实行自我管理、自我教育、自我服务。</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center"/>
              <w:rPr>
                <w:rFonts w:ascii="仿宋" w:hAnsi="仿宋" w:cs="仿宋"/>
              </w:rPr>
            </w:pPr>
            <w:r>
              <w:rPr>
                <w:rFonts w:ascii="黑体" w:eastAsia="黑体" w:hAnsi="黑体" w:cs="黑体" w:hint="eastAsia"/>
              </w:rPr>
              <w:t>第六章　法律责任</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第四十一条</w:t>
            </w:r>
            <w:r>
              <w:rPr>
                <w:rFonts w:ascii="仿宋" w:hAnsi="仿宋" w:cs="仿宋" w:hint="eastAsia"/>
              </w:rPr>
              <w:t xml:space="preserve">　个体工商户违反本条例有关工商行政管理规定的，由工商行政管理部门给予下列处罚</w:t>
            </w:r>
            <w:r>
              <w:rPr>
                <w:rFonts w:ascii="仿宋" w:hAnsi="仿宋" w:cs="仿宋" w:hint="eastAsia"/>
              </w:rPr>
              <w:t>:</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（一）无照经营的，予以取缔，没收非法所得，</w:t>
            </w:r>
            <w:r>
              <w:rPr>
                <w:rFonts w:ascii="仿宋" w:hAnsi="仿宋" w:cs="仿宋" w:hint="eastAsia"/>
              </w:rPr>
              <w:t>对</w:t>
            </w:r>
            <w:r>
              <w:rPr>
                <w:rFonts w:ascii="仿宋" w:hAnsi="仿宋" w:cs="仿宋" w:hint="eastAsia"/>
              </w:rPr>
              <w:t>经营总额</w:t>
            </w:r>
            <w:r>
              <w:rPr>
                <w:rFonts w:ascii="仿宋" w:hAnsi="仿宋" w:cs="仿宋" w:hint="eastAsia"/>
              </w:rPr>
              <w:t>500</w:t>
            </w:r>
            <w:r>
              <w:rPr>
                <w:rFonts w:ascii="仿宋" w:hAnsi="仿宋" w:cs="仿宋" w:hint="eastAsia"/>
              </w:rPr>
              <w:t>元以下的（不合本数），并处</w:t>
            </w:r>
            <w:r>
              <w:rPr>
                <w:rFonts w:ascii="仿宋" w:hAnsi="仿宋" w:cs="仿宋" w:hint="eastAsia"/>
              </w:rPr>
              <w:t>50</w:t>
            </w:r>
            <w:r>
              <w:rPr>
                <w:rFonts w:ascii="仿宋" w:hAnsi="仿宋" w:cs="仿宋" w:hint="eastAsia"/>
              </w:rPr>
              <w:t>元至</w:t>
            </w:r>
            <w:r>
              <w:rPr>
                <w:rFonts w:ascii="仿宋" w:hAnsi="仿宋" w:cs="仿宋" w:hint="eastAsia"/>
              </w:rPr>
              <w:t>200</w:t>
            </w:r>
            <w:r>
              <w:rPr>
                <w:rFonts w:ascii="仿宋" w:hAnsi="仿宋" w:cs="仿宋" w:hint="eastAsia"/>
              </w:rPr>
              <w:t>元罚款；对经营总额</w:t>
            </w:r>
            <w:r>
              <w:rPr>
                <w:rFonts w:ascii="仿宋" w:hAnsi="仿宋" w:cs="仿宋" w:hint="eastAsia"/>
              </w:rPr>
              <w:t>500</w:t>
            </w:r>
            <w:r>
              <w:rPr>
                <w:rFonts w:ascii="仿宋" w:hAnsi="仿宋" w:cs="仿宋" w:hint="eastAsia"/>
              </w:rPr>
              <w:t>元以上的，并处</w:t>
            </w:r>
            <w:r>
              <w:rPr>
                <w:rFonts w:ascii="仿宋" w:hAnsi="仿宋" w:cs="仿宋" w:hint="eastAsia"/>
              </w:rPr>
              <w:t>200</w:t>
            </w:r>
            <w:r>
              <w:rPr>
                <w:rFonts w:ascii="仿宋" w:hAnsi="仿宋" w:cs="仿宋" w:hint="eastAsia"/>
              </w:rPr>
              <w:t>元至</w:t>
            </w:r>
            <w:r>
              <w:rPr>
                <w:rFonts w:ascii="仿宋" w:hAnsi="仿宋" w:cs="仿宋" w:hint="eastAsia"/>
              </w:rPr>
              <w:t>500</w:t>
            </w:r>
            <w:r>
              <w:rPr>
                <w:rFonts w:ascii="仿宋" w:hAnsi="仿宋" w:cs="仿宋" w:hint="eastAsia"/>
              </w:rPr>
              <w:t>元罚款。</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（二）未按规定办理变更登记手续，继续使用原营业执照经营的，责令其限期办理，并处</w:t>
            </w:r>
            <w:r>
              <w:rPr>
                <w:rFonts w:ascii="仿宋" w:hAnsi="仿宋" w:cs="仿宋" w:hint="eastAsia"/>
              </w:rPr>
              <w:t>100</w:t>
            </w:r>
            <w:r>
              <w:rPr>
                <w:rFonts w:ascii="仿宋" w:hAnsi="仿宋" w:cs="仿宋" w:hint="eastAsia"/>
              </w:rPr>
              <w:t>元至</w:t>
            </w:r>
            <w:r>
              <w:rPr>
                <w:rFonts w:ascii="仿宋" w:hAnsi="仿宋" w:cs="仿宋" w:hint="eastAsia"/>
              </w:rPr>
              <w:t>500</w:t>
            </w:r>
            <w:r>
              <w:rPr>
                <w:rFonts w:ascii="仿宋" w:hAnsi="仿宋" w:cs="仿宋" w:hint="eastAsia"/>
              </w:rPr>
              <w:t>元罚款。</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（三）擅自停业、歇业的，处</w:t>
            </w:r>
            <w:r>
              <w:rPr>
                <w:rFonts w:ascii="仿宋" w:hAnsi="仿宋" w:cs="仿宋" w:hint="eastAsia"/>
              </w:rPr>
              <w:t>20</w:t>
            </w:r>
            <w:r>
              <w:rPr>
                <w:rFonts w:ascii="仿宋" w:hAnsi="仿宋" w:cs="仿宋" w:hint="eastAsia"/>
              </w:rPr>
              <w:t>元至</w:t>
            </w:r>
            <w:r>
              <w:rPr>
                <w:rFonts w:ascii="仿宋" w:hAnsi="仿宋" w:cs="仿宋" w:hint="eastAsia"/>
              </w:rPr>
              <w:t>100</w:t>
            </w:r>
            <w:r>
              <w:rPr>
                <w:rFonts w:ascii="仿宋" w:hAnsi="仿宋" w:cs="仿宋" w:hint="eastAsia"/>
              </w:rPr>
              <w:t>元罚款；擅自停</w:t>
            </w:r>
            <w:r>
              <w:rPr>
                <w:rFonts w:ascii="仿宋" w:hAnsi="仿宋" w:cs="仿宋" w:hint="eastAsia"/>
              </w:rPr>
              <w:t>业</w:t>
            </w:r>
            <w:r>
              <w:rPr>
                <w:rFonts w:ascii="仿宋" w:hAnsi="仿宋" w:cs="仿宋" w:hint="eastAsia"/>
              </w:rPr>
              <w:t>超过</w:t>
            </w:r>
            <w:r>
              <w:rPr>
                <w:rFonts w:ascii="仿宋" w:hAnsi="仿宋" w:cs="仿宋" w:hint="eastAsia"/>
              </w:rPr>
              <w:t>6</w:t>
            </w:r>
            <w:r>
              <w:rPr>
                <w:rFonts w:ascii="仿宋" w:hAnsi="仿宋" w:cs="仿宋" w:hint="eastAsia"/>
              </w:rPr>
              <w:t>个月或已歇业的，同时缴销原营业执照。</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t>（四）无正当理由逾期不办理年检验照手续的，处</w:t>
            </w:r>
            <w:r>
              <w:rPr>
                <w:rFonts w:ascii="仿宋" w:hAnsi="仿宋" w:cs="仿宋" w:hint="eastAsia"/>
              </w:rPr>
              <w:t>50</w:t>
            </w:r>
            <w:r>
              <w:rPr>
                <w:rFonts w:ascii="仿宋" w:hAnsi="仿宋" w:cs="仿宋" w:hint="eastAsia"/>
              </w:rPr>
              <w:t>元至</w:t>
            </w:r>
            <w:r>
              <w:rPr>
                <w:rFonts w:ascii="仿宋" w:hAnsi="仿宋" w:cs="仿宋" w:hint="eastAsia"/>
              </w:rPr>
              <w:t>200</w:t>
            </w:r>
            <w:r>
              <w:rPr>
                <w:rFonts w:ascii="仿宋" w:hAnsi="仿宋" w:cs="仿宋" w:hint="eastAsia"/>
              </w:rPr>
              <w:t>元罚款；经审查，年检合格的，给予补办，年检不合格的，吊销其营业执照。</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仿宋" w:hAnsi="仿宋" w:cs="仿宋" w:hint="eastAsia"/>
              </w:rPr>
              <w:lastRenderedPageBreak/>
              <w:t>（五）个体工商户违反本条例有不正当竞争，损害消费者合法权益，违法订立、变更、解除合同，制售假冒伪劣商品，侵犯注册商标专用权，发布虚假广告等行为的，由工商行政管理部门依据有关法律、法规处理。</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第四十二条</w:t>
            </w:r>
            <w:r>
              <w:rPr>
                <w:rFonts w:ascii="仿宋" w:hAnsi="仿宋" w:cs="仿宋" w:hint="eastAsia"/>
              </w:rPr>
              <w:t xml:space="preserve">　个体工商户被缴销、吊销营业执照的，工商行政管理部门应同时收缴营业用图章并及时通知开户银行和税务部门，注销银行帐号和税务登记。</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第四十三条</w:t>
            </w:r>
            <w:r>
              <w:rPr>
                <w:rFonts w:ascii="仿宋" w:hAnsi="仿宋" w:cs="仿宋" w:hint="eastAsia"/>
              </w:rPr>
              <w:t xml:space="preserve">　个体工商户违反税务、卫生、交通、城建、物价、公安、技术监督、金融、劳动、海关、文化、计划生育、环保等法律、法规、规章的，由有关部门按照各自职权依法处理。</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第四十四条</w:t>
            </w:r>
            <w:r>
              <w:rPr>
                <w:rFonts w:ascii="仿宋" w:hAnsi="仿宋" w:cs="仿宋" w:hint="eastAsia"/>
              </w:rPr>
              <w:t xml:space="preserve">　</w:t>
            </w:r>
            <w:r>
              <w:rPr>
                <w:rFonts w:ascii="仿宋" w:hAnsi="仿宋" w:cs="仿宋" w:hint="eastAsia"/>
              </w:rPr>
              <w:t>个体工商户拒绝、阻碍国家公务人员执行公务的，由公安机关依法处理；构成犯罪的，依法追究其刑事责任。</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第四十五条</w:t>
            </w:r>
            <w:r>
              <w:rPr>
                <w:rFonts w:ascii="仿宋" w:hAnsi="仿宋" w:cs="仿宋" w:hint="eastAsia"/>
              </w:rPr>
              <w:t xml:space="preserve">　当事人对行政机关拒绝颁发有关批准文件和营业执照或不作答复有异议的，可以依法申请复议，也可以直接向人民法院起诉。</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第四十六条</w:t>
            </w:r>
            <w:r>
              <w:rPr>
                <w:rFonts w:ascii="仿宋" w:hAnsi="仿宋" w:cs="仿宋" w:hint="eastAsia"/>
              </w:rPr>
              <w:t xml:space="preserve">　当事人对行政处罚不服的，可以依法申请复议；对复议决定不服的，可以在接到复议决定书之日起</w:t>
            </w:r>
            <w:r>
              <w:rPr>
                <w:rFonts w:ascii="仿宋" w:hAnsi="仿宋" w:cs="仿宋" w:hint="eastAsia"/>
              </w:rPr>
              <w:t>15</w:t>
            </w:r>
            <w:r>
              <w:rPr>
                <w:rFonts w:ascii="仿宋" w:hAnsi="仿宋" w:cs="仿宋" w:hint="eastAsia"/>
              </w:rPr>
              <w:t>日内，向人民法院起诉。期满不申请复议、不起诉又不履行处罚决定的，由作出处罚决定的机关申请人民法院强制执行。法律、法规另有规定的，依照法律、法规的规定处理。</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第四十七条</w:t>
            </w:r>
            <w:r>
              <w:rPr>
                <w:rFonts w:ascii="仿宋" w:hAnsi="仿宋" w:cs="仿宋" w:hint="eastAsia"/>
              </w:rPr>
              <w:t xml:space="preserve">　违反本条例第三十四条、第三十五条、第三</w:t>
            </w:r>
            <w:r>
              <w:rPr>
                <w:rFonts w:ascii="仿宋" w:hAnsi="仿宋" w:cs="仿宋" w:hint="eastAsia"/>
              </w:rPr>
              <w:lastRenderedPageBreak/>
              <w:t>十六条、第三十七条规定，在对个体工商户实施监督管理过程中，擅自设定办事条件、程序和义务、责任的，由县级以上人民政府予以纠正；擅自向个体工商户实行收费和摊派人力、物力、财力的，必须全部返还；对个体工商户实行非法封锁、垄断，强行推销、搭售商品，或者强行有偿服务，擅自收回、拆除或侵占生产经营用地、用房，给个体工商户造成经济损失的，应依法赔偿。</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第四十八条</w:t>
            </w:r>
            <w:r>
              <w:rPr>
                <w:rFonts w:ascii="仿宋" w:hAnsi="仿宋" w:cs="仿宋" w:hint="eastAsia"/>
              </w:rPr>
              <w:t xml:space="preserve">　工商行政管理部门和其他有关部门工作人员利用职权贪污受贿、徇私舞弊、敲诈勒索的，由其所在部门、上级主管部门或行政监察部门</w:t>
            </w:r>
            <w:r>
              <w:rPr>
                <w:rFonts w:ascii="仿宋" w:hAnsi="仿宋" w:cs="仿宋" w:hint="eastAsia"/>
              </w:rPr>
              <w:t>给予行政处分；构成犯罪的，依法追究刑事责任。</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center"/>
              <w:rPr>
                <w:rFonts w:ascii="黑体" w:eastAsia="黑体" w:hAnsi="黑体" w:cs="黑体"/>
              </w:rPr>
            </w:pPr>
            <w:r>
              <w:rPr>
                <w:rFonts w:ascii="黑体" w:eastAsia="黑体" w:hAnsi="黑体" w:cs="黑体" w:hint="eastAsia"/>
              </w:rPr>
              <w:t>第七章　附则</w:t>
            </w:r>
          </w:p>
        </w:tc>
      </w:tr>
      <w:tr w:rsidR="00C367C6">
        <w:trPr>
          <w:trHeight w:val="375"/>
          <w:tblCellSpacing w:w="15" w:type="dxa"/>
        </w:trPr>
        <w:tc>
          <w:tcPr>
            <w:tcW w:w="8865" w:type="dxa"/>
            <w:vAlign w:val="center"/>
          </w:tcPr>
          <w:p w:rsidR="00C367C6" w:rsidRDefault="00C367C6">
            <w:pPr>
              <w:snapToGrid/>
              <w:spacing w:after="0" w:line="300" w:lineRule="auto"/>
              <w:ind w:firstLineChars="200" w:firstLine="632"/>
              <w:jc w:val="both"/>
              <w:rPr>
                <w:rFonts w:ascii="黑体" w:eastAsia="黑体" w:hAnsi="黑体" w:cs="黑体"/>
              </w:rPr>
            </w:pPr>
          </w:p>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第四十九条</w:t>
            </w:r>
            <w:r>
              <w:rPr>
                <w:rFonts w:ascii="仿宋" w:hAnsi="仿宋" w:cs="仿宋" w:hint="eastAsia"/>
              </w:rPr>
              <w:t xml:space="preserve">　个人合伙申请开业登记注册时，参照本条例执行。</w:t>
            </w:r>
          </w:p>
        </w:tc>
      </w:tr>
      <w:tr w:rsidR="00C367C6">
        <w:trPr>
          <w:trHeight w:val="375"/>
          <w:tblCellSpacing w:w="15" w:type="dxa"/>
        </w:trPr>
        <w:tc>
          <w:tcPr>
            <w:tcW w:w="8865" w:type="dxa"/>
            <w:vAlign w:val="center"/>
          </w:tcPr>
          <w:p w:rsidR="00C367C6" w:rsidRDefault="00C25156">
            <w:pPr>
              <w:snapToGrid/>
              <w:spacing w:after="0" w:line="300" w:lineRule="auto"/>
              <w:ind w:firstLineChars="200" w:firstLine="632"/>
              <w:jc w:val="both"/>
              <w:rPr>
                <w:rFonts w:ascii="仿宋" w:hAnsi="仿宋" w:cs="仿宋"/>
              </w:rPr>
            </w:pPr>
            <w:r>
              <w:rPr>
                <w:rFonts w:ascii="黑体" w:eastAsia="黑体" w:hAnsi="黑体" w:cs="黑体" w:hint="eastAsia"/>
              </w:rPr>
              <w:t>第五十条</w:t>
            </w:r>
            <w:r>
              <w:rPr>
                <w:rFonts w:ascii="仿宋" w:hAnsi="仿宋" w:cs="仿宋" w:hint="eastAsia"/>
              </w:rPr>
              <w:t xml:space="preserve">　本条例自</w:t>
            </w:r>
            <w:r>
              <w:rPr>
                <w:rFonts w:ascii="仿宋" w:hAnsi="仿宋" w:cs="仿宋" w:hint="eastAsia"/>
              </w:rPr>
              <w:t>1995</w:t>
            </w:r>
            <w:r>
              <w:rPr>
                <w:rFonts w:ascii="仿宋" w:hAnsi="仿宋" w:cs="仿宋" w:hint="eastAsia"/>
              </w:rPr>
              <w:t>年</w:t>
            </w:r>
            <w:r>
              <w:rPr>
                <w:rFonts w:ascii="仿宋" w:hAnsi="仿宋" w:cs="仿宋" w:hint="eastAsia"/>
              </w:rPr>
              <w:t>1</w:t>
            </w:r>
            <w:r>
              <w:rPr>
                <w:rFonts w:ascii="仿宋" w:hAnsi="仿宋" w:cs="仿宋" w:hint="eastAsia"/>
              </w:rPr>
              <w:t>月</w:t>
            </w:r>
            <w:r>
              <w:rPr>
                <w:rFonts w:ascii="仿宋" w:hAnsi="仿宋" w:cs="仿宋" w:hint="eastAsia"/>
              </w:rPr>
              <w:t>1</w:t>
            </w:r>
            <w:r>
              <w:rPr>
                <w:rFonts w:ascii="仿宋" w:hAnsi="仿宋" w:cs="仿宋" w:hint="eastAsia"/>
              </w:rPr>
              <w:t>日起施行。</w:t>
            </w:r>
          </w:p>
        </w:tc>
      </w:tr>
    </w:tbl>
    <w:p w:rsidR="00C367C6" w:rsidRDefault="00C367C6">
      <w:pPr>
        <w:snapToGrid/>
        <w:spacing w:after="0" w:line="300" w:lineRule="auto"/>
        <w:ind w:firstLineChars="200" w:firstLine="632"/>
        <w:jc w:val="both"/>
        <w:rPr>
          <w:rFonts w:asciiTheme="majorEastAsia" w:eastAsiaTheme="majorEastAsia" w:hAnsiTheme="majorEastAsia" w:cstheme="majorEastAsia"/>
        </w:rPr>
      </w:pPr>
    </w:p>
    <w:p w:rsidR="00C367C6" w:rsidRDefault="00C367C6">
      <w:pPr>
        <w:spacing w:line="220" w:lineRule="atLeast"/>
      </w:pPr>
    </w:p>
    <w:sectPr w:rsidR="00C367C6" w:rsidSect="00C367C6">
      <w:footerReference w:type="even" r:id="rId7"/>
      <w:footerReference w:type="default" r:id="rId8"/>
      <w:pgSz w:w="11906" w:h="16838"/>
      <w:pgMar w:top="2041" w:right="1531" w:bottom="2041" w:left="1531" w:header="708" w:footer="709" w:gutter="0"/>
      <w:cols w:space="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156" w:rsidRDefault="00C25156" w:rsidP="00C367C6">
      <w:pPr>
        <w:spacing w:after="0"/>
      </w:pPr>
      <w:r>
        <w:separator/>
      </w:r>
    </w:p>
  </w:endnote>
  <w:endnote w:type="continuationSeparator" w:id="1">
    <w:p w:rsidR="00C25156" w:rsidRDefault="00C25156" w:rsidP="00C367C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7C6" w:rsidRDefault="00C367C6">
    <w:pPr>
      <w:pStyle w:val="a3"/>
    </w:pPr>
    <w:r>
      <w:pict>
        <v:shapetype id="_x0000_t202" coordsize="21600,21600" o:spt="202" path="m,l,21600r21600,l21600,xe">
          <v:stroke joinstyle="miter"/>
          <v:path gradientshapeok="t" o:connecttype="rect"/>
        </v:shapetype>
        <v:shape id="_x0000_s2050" type="#_x0000_t202" style="position:absolute;margin-left:15.75pt;margin-top:-48pt;width:2in;height:2in;z-index:251659264;mso-wrap-style:none;mso-position-horizontal-relative:margin" filled="f" stroked="f">
          <v:textbox style="mso-fit-shape-to-text:t" inset="0,0,0,0">
            <w:txbxContent>
              <w:p w:rsidR="00C367C6" w:rsidRDefault="00C25156">
                <w:pPr>
                  <w:rPr>
                    <w:rFonts w:ascii="宋体" w:eastAsia="宋体" w:hAnsi="宋体" w:cs="宋体"/>
                    <w:sz w:val="28"/>
                    <w:szCs w:val="28"/>
                  </w:rPr>
                </w:pPr>
                <w:r>
                  <w:rPr>
                    <w:rFonts w:ascii="宋体" w:eastAsia="宋体" w:hAnsi="宋体" w:cs="宋体" w:hint="eastAsia"/>
                    <w:sz w:val="28"/>
                    <w:szCs w:val="28"/>
                  </w:rPr>
                  <w:t>－</w:t>
                </w:r>
                <w:r w:rsidR="00C367C6">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C367C6">
                  <w:rPr>
                    <w:rFonts w:ascii="宋体" w:eastAsia="宋体" w:hAnsi="宋体" w:cs="宋体" w:hint="eastAsia"/>
                    <w:sz w:val="28"/>
                    <w:szCs w:val="28"/>
                  </w:rPr>
                  <w:fldChar w:fldCharType="separate"/>
                </w:r>
                <w:r w:rsidR="000779B7">
                  <w:rPr>
                    <w:rFonts w:ascii="宋体" w:eastAsia="宋体" w:hAnsi="宋体" w:cs="宋体"/>
                    <w:noProof/>
                    <w:sz w:val="28"/>
                    <w:szCs w:val="28"/>
                  </w:rPr>
                  <w:t>10</w:t>
                </w:r>
                <w:r w:rsidR="00C367C6">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7C6" w:rsidRDefault="00C367C6">
    <w:pPr>
      <w:pStyle w:val="a3"/>
    </w:pPr>
    <w:r>
      <w:pict>
        <v:shapetype id="_x0000_t202" coordsize="21600,21600" o:spt="202" path="m,l,21600r21600,l21600,xe">
          <v:stroke joinstyle="miter"/>
          <v:path gradientshapeok="t" o:connecttype="rect"/>
        </v:shapetype>
        <v:shape id="_x0000_s2049" type="#_x0000_t202" style="position:absolute;margin-left:380.45pt;margin-top:-46.5pt;width:2in;height:2in;z-index:251658240;mso-wrap-style:none;mso-position-horizontal-relative:margin" filled="f" stroked="f">
          <v:textbox style="mso-fit-shape-to-text:t" inset="0,0,0,0">
            <w:txbxContent>
              <w:p w:rsidR="00C367C6" w:rsidRDefault="00C25156">
                <w:pPr>
                  <w:rPr>
                    <w:rFonts w:ascii="宋体" w:eastAsia="宋体" w:hAnsi="宋体" w:cs="宋体"/>
                    <w:sz w:val="28"/>
                    <w:szCs w:val="28"/>
                  </w:rPr>
                </w:pPr>
                <w:r>
                  <w:rPr>
                    <w:rFonts w:ascii="宋体" w:eastAsia="宋体" w:hAnsi="宋体" w:cs="宋体" w:hint="eastAsia"/>
                    <w:sz w:val="28"/>
                    <w:szCs w:val="28"/>
                  </w:rPr>
                  <w:t>－</w:t>
                </w:r>
                <w:r w:rsidR="00C367C6">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C367C6">
                  <w:rPr>
                    <w:rFonts w:ascii="宋体" w:eastAsia="宋体" w:hAnsi="宋体" w:cs="宋体" w:hint="eastAsia"/>
                    <w:sz w:val="28"/>
                    <w:szCs w:val="28"/>
                  </w:rPr>
                  <w:fldChar w:fldCharType="separate"/>
                </w:r>
                <w:r w:rsidR="000779B7">
                  <w:rPr>
                    <w:rFonts w:ascii="宋体" w:eastAsia="宋体" w:hAnsi="宋体" w:cs="宋体"/>
                    <w:noProof/>
                    <w:sz w:val="28"/>
                    <w:szCs w:val="28"/>
                  </w:rPr>
                  <w:t>11</w:t>
                </w:r>
                <w:r w:rsidR="00C367C6">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156" w:rsidRDefault="00C25156" w:rsidP="00C367C6">
      <w:pPr>
        <w:spacing w:after="0"/>
      </w:pPr>
      <w:r>
        <w:separator/>
      </w:r>
    </w:p>
  </w:footnote>
  <w:footnote w:type="continuationSeparator" w:id="1">
    <w:p w:rsidR="00C25156" w:rsidRDefault="00C25156" w:rsidP="00C367C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evenAndOddHeaders/>
  <w:drawingGridHorizontalSpacing w:val="158"/>
  <w:drawingGridVerticalSpacing w:val="29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D31D50"/>
    <w:rsid w:val="000779B7"/>
    <w:rsid w:val="000D54BC"/>
    <w:rsid w:val="00323B43"/>
    <w:rsid w:val="003D37D8"/>
    <w:rsid w:val="00426133"/>
    <w:rsid w:val="004358AB"/>
    <w:rsid w:val="008B7726"/>
    <w:rsid w:val="00C25156"/>
    <w:rsid w:val="00C367C6"/>
    <w:rsid w:val="00C620C5"/>
    <w:rsid w:val="00D31D50"/>
    <w:rsid w:val="01235CB5"/>
    <w:rsid w:val="16733A0D"/>
    <w:rsid w:val="24004A7B"/>
    <w:rsid w:val="25132456"/>
    <w:rsid w:val="6DCF2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7C6"/>
    <w:pPr>
      <w:adjustRightInd w:val="0"/>
      <w:snapToGrid w:val="0"/>
      <w:spacing w:after="200"/>
    </w:pPr>
    <w:rPr>
      <w:rFonts w:ascii="Tahoma" w:eastAsia="仿宋" w:hAnsi="Tahoma"/>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C367C6"/>
    <w:pPr>
      <w:tabs>
        <w:tab w:val="center" w:pos="4153"/>
        <w:tab w:val="right" w:pos="8306"/>
      </w:tabs>
    </w:pPr>
    <w:rPr>
      <w:sz w:val="18"/>
    </w:rPr>
  </w:style>
  <w:style w:type="paragraph" w:styleId="a4">
    <w:name w:val="header"/>
    <w:basedOn w:val="a"/>
    <w:uiPriority w:val="99"/>
    <w:unhideWhenUsed/>
    <w:rsid w:val="00C367C6"/>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hehe</dc:creator>
  <cp:lastModifiedBy>Windows 用户</cp:lastModifiedBy>
  <cp:revision>3</cp:revision>
  <dcterms:created xsi:type="dcterms:W3CDTF">2008-09-11T17:20:00Z</dcterms:created>
  <dcterms:modified xsi:type="dcterms:W3CDTF">2017-01-10T01:24:00Z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