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8967" w:type="dxa"/>
        <w:tblCellSpacing w:w="15" w:type="dxa"/>
        <w:tblInd w:w="0" w:type="dxa"/>
        <w:tblLayout w:type="fixed"/>
        <w:tblCellMar>
          <w:top w:w="15" w:type="dxa"/>
          <w:left w:w="15" w:type="dxa"/>
          <w:bottom w:w="15" w:type="dxa"/>
          <w:right w:w="15" w:type="dxa"/>
        </w:tblCellMar>
      </w:tblPr>
      <w:tblGrid>
        <w:gridCol w:w="8967"/>
      </w:tblGrid>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0" w:firstLineChars="0"/>
              <w:jc w:val="both"/>
              <w:textAlignment w:val="auto"/>
              <w:outlineLvl w:val="9"/>
              <w:rPr>
                <w:rFonts w:hint="eastAsia" w:ascii="宋体" w:hAnsi="宋体" w:eastAsia="宋体" w:cs="宋体"/>
                <w:color w:val="auto"/>
                <w:sz w:val="32"/>
                <w:szCs w:val="32"/>
                <w:lang w:eastAsia="zh-CN"/>
              </w:rPr>
            </w:pPr>
            <w:r>
              <w:rPr>
                <w:rFonts w:hint="eastAsia" w:ascii="宋体" w:hAnsi="宋体" w:eastAsia="宋体" w:cs="宋体"/>
                <w:color w:val="auto"/>
                <w:sz w:val="32"/>
                <w:szCs w:val="32"/>
                <w:lang w:eastAsia="zh-CN"/>
              </w:rPr>
              <w:t xml:space="preserve"> </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textAlignment w:val="auto"/>
              <w:rPr>
                <w:rFonts w:hint="eastAsia" w:ascii="宋体" w:hAnsi="宋体" w:eastAsia="宋体" w:cs="宋体"/>
                <w:color w:val="auto"/>
                <w:sz w:val="32"/>
                <w:szCs w:val="32"/>
                <w:lang w:val="en-US" w:eastAsia="zh-CN"/>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jc w:val="center"/>
              <w:textAlignment w:val="auto"/>
              <w:rPr>
                <w:rFonts w:hint="eastAsia" w:ascii="宋体" w:hAnsi="宋体" w:eastAsia="宋体" w:cs="宋体"/>
                <w:color w:val="auto"/>
                <w:sz w:val="32"/>
                <w:szCs w:val="32"/>
                <w:lang w:eastAsia="zh-CN"/>
              </w:rPr>
            </w:pPr>
            <w:bookmarkStart w:id="0" w:name="_GoBack"/>
            <w:bookmarkEnd w:id="0"/>
            <w:r>
              <w:rPr>
                <w:rFonts w:ascii="宋体" w:hAnsi="宋体" w:eastAsia="宋体" w:cs="宋体"/>
                <w:color w:val="auto"/>
                <w:sz w:val="44"/>
                <w:szCs w:val="44"/>
              </w:rPr>
              <w:t>吉林省城乡集贸市场管理条例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textAlignment w:val="auto"/>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635" w:leftChars="0" w:right="676" w:rightChars="214" w:hanging="635" w:hangingChars="201"/>
              <w:jc w:val="both"/>
              <w:textAlignment w:val="auto"/>
              <w:rPr>
                <w:rFonts w:hint="eastAsia" w:ascii="楷体" w:hAnsi="楷体" w:eastAsia="楷体" w:cs="楷体"/>
                <w:color w:val="auto"/>
                <w:sz w:val="32"/>
                <w:szCs w:val="32"/>
              </w:rPr>
            </w:pPr>
            <w:r>
              <w:rPr>
                <w:rFonts w:hint="eastAsia" w:ascii="楷体" w:hAnsi="楷体" w:cs="楷体"/>
                <w:color w:val="auto"/>
                <w:sz w:val="32"/>
                <w:szCs w:val="32"/>
                <w:lang w:eastAsia="zh-CN"/>
              </w:rPr>
              <w:t>　　（1993年7月13日吉林省第八届人民代表大会常务委员会第四次会议通过　根据1997年11月14日吉林省第八届人民代表大会常务委员会第三十四次会议《吉林省人民代表大会常务委员会关于修改&lt;吉林省城乡集贸市场管理条例&gt;的决定》修改　根据2001年1月12日吉林省第九届人民代表大会常务委员会第二十一次会议审议通过《吉林省人民政府关于提请废止5件地方性法规、取消27件地方性法规中60项行政管理项目的议案》修改　根据2002年11月28日吉林省第九届人民代表大会常务委员会第三十四次会议《吉林省人民代表大会常务委员会关于修改＜</w:t>
            </w:r>
            <w:r>
              <w:rPr>
                <w:rFonts w:hint="eastAsia" w:ascii="楷体" w:hAnsi="楷体" w:cs="楷体"/>
                <w:color w:val="auto"/>
                <w:sz w:val="32"/>
                <w:szCs w:val="32"/>
                <w:lang w:eastAsia="zh-CN"/>
              </w:rPr>
              <w:fldChar w:fldCharType="begin"/>
            </w:r>
            <w:r>
              <w:rPr>
                <w:rFonts w:hint="eastAsia" w:ascii="楷体" w:hAnsi="楷体" w:cs="楷体"/>
                <w:color w:val="auto"/>
                <w:sz w:val="32"/>
                <w:szCs w:val="32"/>
                <w:lang w:eastAsia="zh-CN"/>
              </w:rPr>
              <w:instrText xml:space="preserve"> HYPERLINK "http://law.npc.gov.cn:80/FLFG/flfgByID.action?txtid=58&amp;flfgID=52698&amp;showDetailType=QW" </w:instrText>
            </w:r>
            <w:r>
              <w:rPr>
                <w:rFonts w:hint="eastAsia" w:ascii="楷体" w:hAnsi="楷体" w:cs="楷体"/>
                <w:color w:val="auto"/>
                <w:sz w:val="32"/>
                <w:szCs w:val="32"/>
                <w:lang w:eastAsia="zh-CN"/>
              </w:rPr>
              <w:fldChar w:fldCharType="separate"/>
            </w:r>
            <w:r>
              <w:rPr>
                <w:rFonts w:hint="eastAsia" w:ascii="楷体" w:hAnsi="楷体" w:cs="楷体"/>
                <w:color w:val="auto"/>
                <w:sz w:val="32"/>
                <w:szCs w:val="32"/>
                <w:lang w:eastAsia="zh-CN"/>
              </w:rPr>
              <w:t>吉林省文物保护管理条例</w:t>
            </w:r>
            <w:r>
              <w:rPr>
                <w:rFonts w:hint="eastAsia" w:ascii="楷体" w:hAnsi="楷体" w:cs="楷体"/>
                <w:color w:val="auto"/>
                <w:sz w:val="32"/>
                <w:szCs w:val="32"/>
                <w:lang w:eastAsia="zh-CN"/>
              </w:rPr>
              <w:fldChar w:fldCharType="end"/>
            </w:r>
            <w:r>
              <w:rPr>
                <w:rFonts w:hint="eastAsia" w:ascii="楷体" w:hAnsi="楷体" w:cs="楷体"/>
                <w:color w:val="auto"/>
                <w:sz w:val="32"/>
                <w:szCs w:val="32"/>
                <w:lang w:eastAsia="zh-CN"/>
              </w:rPr>
              <w:t>＞等14部地方性法规的决定》修改）</w:t>
            </w:r>
          </w:p>
          <w:p>
            <w:pPr>
              <w:keepNext w:val="0"/>
              <w:keepLines w:val="0"/>
              <w:pageBreakBefore w:val="0"/>
              <w:widowControl/>
              <w:kinsoku/>
              <w:wordWrap/>
              <w:overflowPunct/>
              <w:topLinePunct w:val="0"/>
              <w:autoSpaceDE/>
              <w:autoSpaceDN/>
              <w:bidi w:val="0"/>
              <w:adjustRightInd w:val="0"/>
              <w:snapToGrid/>
              <w:spacing w:after="0" w:line="300" w:lineRule="auto"/>
              <w:ind w:right="676" w:rightChars="214"/>
              <w:jc w:val="both"/>
              <w:textAlignment w:val="auto"/>
              <w:rPr>
                <w:rFonts w:hint="eastAsia" w:ascii="楷体" w:hAnsi="楷体" w:eastAsia="楷体" w:cs="楷体"/>
                <w:color w:val="auto"/>
                <w:sz w:val="32"/>
                <w:szCs w:val="32"/>
              </w:rPr>
            </w:pP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right="-31" w:rightChars="-10" w:firstLine="480"/>
              <w:jc w:val="center"/>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目  录</w:t>
            </w:r>
          </w:p>
          <w:p>
            <w:pPr>
              <w:keepNext w:val="0"/>
              <w:keepLines w:val="0"/>
              <w:pageBreakBefore w:val="0"/>
              <w:widowControl/>
              <w:kinsoku/>
              <w:wordWrap/>
              <w:overflowPunct/>
              <w:topLinePunct w:val="0"/>
              <w:autoSpaceDE/>
              <w:autoSpaceDN/>
              <w:bidi w:val="0"/>
              <w:adjustRightInd w:val="0"/>
              <w:snapToGrid/>
              <w:spacing w:after="0" w:line="300" w:lineRule="auto"/>
              <w:ind w:right="-31" w:rightChars="-10"/>
              <w:jc w:val="left"/>
              <w:textAlignment w:val="auto"/>
              <w:outlineLvl w:val="9"/>
              <w:rPr>
                <w:rFonts w:hint="eastAsia" w:ascii="楷体" w:hAnsi="楷体" w:eastAsia="楷体" w:cs="楷体"/>
                <w:color w:val="auto"/>
                <w:sz w:val="32"/>
                <w:szCs w:val="32"/>
                <w:lang w:val="en-US" w:eastAsia="zh-CN"/>
              </w:rPr>
            </w:pPr>
            <w:r>
              <w:rPr>
                <w:rFonts w:hint="eastAsia" w:ascii="楷体" w:hAnsi="楷体" w:cs="楷体"/>
                <w:color w:val="auto"/>
                <w:sz w:val="32"/>
                <w:szCs w:val="32"/>
                <w:lang w:val="en-US" w:eastAsia="zh-CN"/>
              </w:rPr>
              <w:t xml:space="preserve">    </w:t>
            </w:r>
            <w:r>
              <w:rPr>
                <w:rFonts w:hint="eastAsia" w:ascii="楷体" w:hAnsi="楷体" w:eastAsia="楷体" w:cs="楷体"/>
                <w:color w:val="auto"/>
                <w:sz w:val="32"/>
                <w:szCs w:val="32"/>
                <w:lang w:val="en-US" w:eastAsia="zh-CN"/>
              </w:rPr>
              <w:t>第一章　总则</w:t>
            </w:r>
          </w:p>
          <w:p>
            <w:pPr>
              <w:keepNext w:val="0"/>
              <w:keepLines w:val="0"/>
              <w:pageBreakBefore w:val="0"/>
              <w:widowControl/>
              <w:kinsoku/>
              <w:wordWrap/>
              <w:overflowPunct/>
              <w:topLinePunct w:val="0"/>
              <w:autoSpaceDE/>
              <w:autoSpaceDN/>
              <w:bidi w:val="0"/>
              <w:adjustRightInd w:val="0"/>
              <w:snapToGrid/>
              <w:spacing w:after="0" w:line="300" w:lineRule="auto"/>
              <w:ind w:right="-31" w:rightChars="-10" w:firstLine="631"/>
              <w:jc w:val="left"/>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第二章　集贸市场上市商品的范围　　</w:t>
            </w:r>
          </w:p>
          <w:p>
            <w:pPr>
              <w:keepNext w:val="0"/>
              <w:keepLines w:val="0"/>
              <w:pageBreakBefore w:val="0"/>
              <w:widowControl/>
              <w:kinsoku/>
              <w:wordWrap/>
              <w:overflowPunct/>
              <w:topLinePunct w:val="0"/>
              <w:autoSpaceDE/>
              <w:autoSpaceDN/>
              <w:bidi w:val="0"/>
              <w:adjustRightInd w:val="0"/>
              <w:snapToGrid/>
              <w:spacing w:after="0" w:line="300" w:lineRule="auto"/>
              <w:ind w:right="-31" w:rightChars="-10" w:firstLine="631"/>
              <w:jc w:val="left"/>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第三章　集贸市场的设置及管理</w:t>
            </w:r>
          </w:p>
          <w:p>
            <w:pPr>
              <w:keepNext w:val="0"/>
              <w:keepLines w:val="0"/>
              <w:pageBreakBefore w:val="0"/>
              <w:widowControl/>
              <w:kinsoku/>
              <w:wordWrap/>
              <w:overflowPunct/>
              <w:topLinePunct w:val="0"/>
              <w:autoSpaceDE/>
              <w:autoSpaceDN/>
              <w:bidi w:val="0"/>
              <w:adjustRightInd w:val="0"/>
              <w:snapToGrid/>
              <w:spacing w:after="0" w:line="300" w:lineRule="auto"/>
              <w:ind w:right="-31" w:rightChars="-10"/>
              <w:jc w:val="left"/>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　　第四章　</w:t>
            </w:r>
            <w:r>
              <w:rPr>
                <w:rFonts w:hint="eastAsia" w:ascii="楷体" w:hAnsi="楷体" w:cs="楷体"/>
                <w:color w:val="auto"/>
                <w:sz w:val="32"/>
                <w:szCs w:val="32"/>
                <w:lang w:val="en-US" w:eastAsia="zh-CN"/>
              </w:rPr>
              <w:t>罚则</w:t>
            </w:r>
          </w:p>
          <w:p>
            <w:pPr>
              <w:keepNext w:val="0"/>
              <w:keepLines w:val="0"/>
              <w:pageBreakBefore w:val="0"/>
              <w:widowControl/>
              <w:kinsoku/>
              <w:wordWrap/>
              <w:overflowPunct/>
              <w:topLinePunct w:val="0"/>
              <w:autoSpaceDE/>
              <w:autoSpaceDN/>
              <w:bidi w:val="0"/>
              <w:adjustRightInd w:val="0"/>
              <w:snapToGrid/>
              <w:spacing w:after="0" w:line="300" w:lineRule="auto"/>
              <w:ind w:right="-31" w:rightChars="-10"/>
              <w:jc w:val="left"/>
              <w:textAlignment w:val="auto"/>
              <w:outlineLvl w:val="9"/>
              <w:rPr>
                <w:rFonts w:hint="eastAsia" w:ascii="楷体" w:hAnsi="楷体" w:eastAsia="楷体" w:cs="楷体"/>
                <w:color w:val="auto"/>
                <w:sz w:val="32"/>
                <w:szCs w:val="32"/>
                <w:lang w:val="en-US" w:eastAsia="zh-CN"/>
              </w:rPr>
            </w:pPr>
            <w:r>
              <w:rPr>
                <w:rFonts w:hint="eastAsia" w:ascii="楷体" w:hAnsi="楷体" w:eastAsia="楷体" w:cs="楷体"/>
                <w:color w:val="auto"/>
                <w:sz w:val="32"/>
                <w:szCs w:val="32"/>
                <w:lang w:val="en-US" w:eastAsia="zh-CN"/>
              </w:rPr>
              <w:t>　　第五章　</w:t>
            </w:r>
            <w:r>
              <w:rPr>
                <w:rFonts w:hint="eastAsia" w:ascii="楷体" w:hAnsi="楷体" w:cs="楷体"/>
                <w:color w:val="auto"/>
                <w:sz w:val="32"/>
                <w:szCs w:val="32"/>
                <w:lang w:val="en-US" w:eastAsia="zh-CN"/>
              </w:rPr>
              <w:t>附则</w:t>
            </w:r>
          </w:p>
          <w:p>
            <w:pPr>
              <w:keepNext w:val="0"/>
              <w:keepLines w:val="0"/>
              <w:pageBreakBefore w:val="0"/>
              <w:widowControl/>
              <w:kinsoku/>
              <w:wordWrap/>
              <w:overflowPunct/>
              <w:topLinePunct w:val="0"/>
              <w:autoSpaceDE/>
              <w:autoSpaceDN/>
              <w:bidi w:val="0"/>
              <w:adjustRightInd w:val="0"/>
              <w:snapToGrid/>
              <w:spacing w:after="0" w:line="300" w:lineRule="auto"/>
              <w:jc w:val="center"/>
              <w:textAlignment w:val="auto"/>
              <w:rPr>
                <w:rFonts w:hint="eastAsia" w:ascii="楷体" w:hAnsi="楷体" w:eastAsia="楷体" w:cs="楷体"/>
                <w:color w:val="auto"/>
                <w:sz w:val="32"/>
                <w:szCs w:val="32"/>
                <w:lang w:val="en-US" w:eastAsia="zh-CN"/>
              </w:rPr>
            </w:pPr>
            <w:r>
              <w:rPr>
                <w:rFonts w:hint="eastAsia" w:ascii="楷体" w:hAnsi="楷体" w:cs="楷体"/>
                <w:color w:val="auto"/>
                <w:sz w:val="32"/>
                <w:szCs w:val="32"/>
                <w:lang w:val="en-US" w:eastAsia="zh-CN"/>
              </w:rPr>
              <w:t>　</w:t>
            </w:r>
          </w:p>
          <w:p>
            <w:pPr>
              <w:keepNext w:val="0"/>
              <w:keepLines w:val="0"/>
              <w:pageBreakBefore w:val="0"/>
              <w:widowControl/>
              <w:kinsoku/>
              <w:wordWrap/>
              <w:overflowPunct/>
              <w:topLinePunct w:val="0"/>
              <w:autoSpaceDE/>
              <w:autoSpaceDN/>
              <w:bidi w:val="0"/>
              <w:adjustRightInd w:val="0"/>
              <w:snapToGrid/>
              <w:spacing w:after="0" w:line="300" w:lineRule="auto"/>
              <w:jc w:val="center"/>
              <w:textAlignment w:val="auto"/>
              <w:rPr>
                <w:rFonts w:ascii="宋体" w:hAnsi="宋体" w:eastAsia="宋体" w:cs="宋体"/>
                <w:color w:val="auto"/>
                <w:sz w:val="32"/>
                <w:szCs w:val="32"/>
              </w:rPr>
            </w:pPr>
            <w:r>
              <w:rPr>
                <w:rFonts w:hint="eastAsia" w:ascii="黑体" w:hAnsi="黑体" w:eastAsia="黑体" w:cs="黑体"/>
                <w:color w:val="auto"/>
                <w:sz w:val="32"/>
                <w:szCs w:val="32"/>
              </w:rPr>
              <w:t>第一章　总则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ascii="宋体" w:hAnsi="宋体" w:eastAsia="宋体" w:cs="宋体"/>
                <w:color w:val="auto"/>
                <w:sz w:val="32"/>
                <w:szCs w:val="32"/>
              </w:rPr>
            </w:pPr>
            <w:r>
              <w:rPr>
                <w:rFonts w:hint="eastAsia" w:ascii="黑体" w:hAnsi="黑体" w:eastAsia="黑体" w:cs="黑体"/>
                <w:color w:val="auto"/>
                <w:sz w:val="32"/>
                <w:szCs w:val="32"/>
              </w:rPr>
              <w:t>第一条</w:t>
            </w:r>
            <w:r>
              <w:rPr>
                <w:rFonts w:ascii="宋体" w:hAnsi="宋体" w:eastAsia="宋体" w:cs="宋体"/>
                <w:color w:val="auto"/>
                <w:sz w:val="32"/>
                <w:szCs w:val="32"/>
              </w:rPr>
              <w:t>　</w:t>
            </w:r>
            <w:r>
              <w:rPr>
                <w:rFonts w:hint="eastAsia" w:ascii="仿宋" w:hAnsi="仿宋" w:eastAsia="仿宋" w:cs="仿宋"/>
                <w:color w:val="auto"/>
                <w:sz w:val="32"/>
                <w:szCs w:val="32"/>
              </w:rPr>
              <w:t>为适应社会主义市场经济发展需要，保护经营者和消费者的合法权益，根据国家有关法律规定，结合我省实际情况，制定本条例。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ascii="宋体" w:hAnsi="宋体" w:eastAsia="宋体" w:cs="宋体"/>
                <w:color w:val="auto"/>
                <w:sz w:val="32"/>
                <w:szCs w:val="32"/>
              </w:rPr>
            </w:pPr>
            <w:r>
              <w:rPr>
                <w:rFonts w:hint="eastAsia" w:ascii="黑体" w:hAnsi="黑体" w:eastAsia="黑体" w:cs="黑体"/>
                <w:color w:val="auto"/>
                <w:sz w:val="32"/>
                <w:szCs w:val="32"/>
              </w:rPr>
              <w:t>第二条</w:t>
            </w:r>
            <w:r>
              <w:rPr>
                <w:rFonts w:ascii="宋体" w:hAnsi="宋体" w:eastAsia="宋体" w:cs="宋体"/>
                <w:color w:val="auto"/>
                <w:sz w:val="32"/>
                <w:szCs w:val="32"/>
              </w:rPr>
              <w:t>　</w:t>
            </w:r>
            <w:r>
              <w:rPr>
                <w:rFonts w:hint="eastAsia" w:ascii="仿宋" w:hAnsi="仿宋" w:eastAsia="仿宋" w:cs="仿宋"/>
                <w:color w:val="auto"/>
                <w:sz w:val="32"/>
                <w:szCs w:val="32"/>
              </w:rPr>
              <w:t>本条例所称城乡集贸市场（以下称集贸市场）是指以个体经营为主、多种经济成</w:t>
            </w:r>
            <w:r>
              <w:rPr>
                <w:rFonts w:hint="eastAsia" w:ascii="仿宋" w:hAnsi="仿宋" w:eastAsia="仿宋" w:cs="仿宋"/>
                <w:color w:val="auto"/>
                <w:sz w:val="32"/>
                <w:szCs w:val="32"/>
                <w:lang w:eastAsia="zh-CN"/>
              </w:rPr>
              <w:t>分</w:t>
            </w:r>
            <w:r>
              <w:rPr>
                <w:rFonts w:hint="eastAsia" w:ascii="仿宋" w:hAnsi="仿宋" w:eastAsia="仿宋" w:cs="仿宋"/>
                <w:color w:val="auto"/>
                <w:sz w:val="32"/>
                <w:szCs w:val="32"/>
              </w:rPr>
              <w:t>参与的各类专业性、综合性市场，以及以个体工商户为主的租赁商场和各种定期不定期的民间物资交流会等。</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第三条</w:t>
            </w:r>
            <w:r>
              <w:rPr>
                <w:rFonts w:hint="eastAsia" w:ascii="仿宋" w:hAnsi="仿宋" w:eastAsia="仿宋" w:cs="仿宋"/>
                <w:color w:val="auto"/>
                <w:sz w:val="32"/>
                <w:szCs w:val="32"/>
              </w:rPr>
              <w:t>　各级人民政府要加强对集贸市场规划、建设、管理的领导和协调，使集贸市场达到经济效益、环境效益和社会效益的统一。</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第四条</w:t>
            </w:r>
            <w:r>
              <w:rPr>
                <w:rFonts w:hint="eastAsia" w:ascii="仿宋" w:hAnsi="仿宋" w:eastAsia="仿宋" w:cs="仿宋"/>
                <w:color w:val="auto"/>
                <w:sz w:val="32"/>
                <w:szCs w:val="32"/>
              </w:rPr>
              <w:t>　工商行政管理部门负责对集贸市场的统一管理。卫生、技术监督、公安、城建等有关行政管理部门，依据各自的职责，配合工商行政管理部门对集贸市场内的有关活动进行管理。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各有关部门和市场建设单位，要积极提供各种服务，支持和促进集贸市场的发展。</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集贸市场内群众性行业组织要充分发挥自我管理、自我教育、自我服务的作用。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第五条</w:t>
            </w:r>
            <w:r>
              <w:rPr>
                <w:rFonts w:hint="eastAsia" w:ascii="仿宋" w:hAnsi="仿宋" w:eastAsia="仿宋" w:cs="仿宋"/>
                <w:color w:val="auto"/>
                <w:sz w:val="32"/>
                <w:szCs w:val="32"/>
              </w:rPr>
              <w:t>　凡有经营能力的单位和个人，均可依法在集贸市场从事经营活动。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第六条</w:t>
            </w:r>
            <w:r>
              <w:rPr>
                <w:rFonts w:hint="eastAsia" w:ascii="仿宋" w:hAnsi="仿宋" w:eastAsia="仿宋" w:cs="仿宋"/>
                <w:color w:val="auto"/>
                <w:sz w:val="32"/>
                <w:szCs w:val="32"/>
              </w:rPr>
              <w:t>　凡在我省境内集贸市场从事经营活动的单位和个人以及有关行政管理部门，都必须遵守本条例。</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ascii="宋体" w:hAnsi="宋体" w:eastAsia="宋体" w:cs="宋体"/>
                <w:color w:val="auto"/>
                <w:sz w:val="32"/>
                <w:szCs w:val="32"/>
              </w:rPr>
            </w:pPr>
            <w:r>
              <w:rPr>
                <w:rFonts w:hint="eastAsia" w:ascii="黑体" w:hAnsi="黑体" w:eastAsia="黑体" w:cs="黑体"/>
                <w:color w:val="auto"/>
                <w:sz w:val="32"/>
                <w:szCs w:val="32"/>
              </w:rPr>
              <w:t>第二章　集贸市场上市商品的范围</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540" w:lineRule="atLeast"/>
              <w:ind w:left="0" w:leftChars="0" w:right="0" w:rightChars="0" w:firstLine="632" w:firstLineChars="200"/>
              <w:jc w:val="both"/>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第七条</w:t>
            </w:r>
            <w:r>
              <w:rPr>
                <w:rFonts w:hint="eastAsia" w:ascii="仿宋" w:hAnsi="仿宋" w:eastAsia="仿宋" w:cs="仿宋"/>
                <w:color w:val="auto"/>
                <w:sz w:val="32"/>
                <w:szCs w:val="32"/>
              </w:rPr>
              <w:t>　除本条例第九条规定的禁止上市物品外，其他物品均可进入集贸市场销售。</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国家法律、法规规定需持证上市经营和实行统一经营、专营的商品，上市交易时按国家法律、法规规定执行。</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第八条</w:t>
            </w:r>
            <w:r>
              <w:rPr>
                <w:rFonts w:hint="eastAsia" w:ascii="仿宋" w:hAnsi="仿宋" w:eastAsia="仿宋" w:cs="仿宋"/>
                <w:color w:val="auto"/>
                <w:sz w:val="32"/>
                <w:szCs w:val="32"/>
              </w:rPr>
              <w:t>　以提供劳务、技术为主的各种服务。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第九条</w:t>
            </w:r>
            <w:r>
              <w:rPr>
                <w:rFonts w:hint="eastAsia" w:ascii="仿宋" w:hAnsi="仿宋" w:eastAsia="仿宋" w:cs="仿宋"/>
                <w:color w:val="auto"/>
                <w:sz w:val="32"/>
                <w:szCs w:val="32"/>
              </w:rPr>
              <w:t>　下列物品禁止上市销售：</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（一）毒性药品、麻醉药品、精神药品；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（二）枪支弹药、炸药、雷管、导火索等爆破器材；</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（三）反动、淫秽的书刊、画片、音像制品；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（四）掺杂掺假、以假充真、以次充好以及失效、变质的物品；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（五）按规定应当检疫而未检疫或检疫不合格的畜禽和肉类及其制品；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（六）法律、法规规定禁止上市的其他物品。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hint="eastAsia" w:ascii="黑体" w:hAnsi="黑体" w:eastAsia="黑体" w:cs="黑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ascii="宋体" w:hAnsi="宋体" w:eastAsia="宋体" w:cs="宋体"/>
                <w:color w:val="auto"/>
                <w:sz w:val="32"/>
                <w:szCs w:val="32"/>
              </w:rPr>
            </w:pPr>
            <w:r>
              <w:rPr>
                <w:rFonts w:hint="eastAsia" w:ascii="黑体" w:hAnsi="黑体" w:eastAsia="黑体" w:cs="黑体"/>
                <w:color w:val="auto"/>
                <w:sz w:val="32"/>
                <w:szCs w:val="32"/>
              </w:rPr>
              <w:t>第三章　集贸市场的设置及管理</w:t>
            </w:r>
          </w:p>
        </w:tc>
      </w:tr>
      <w:tr>
        <w:tblPrEx>
          <w:tblLayout w:type="fixed"/>
          <w:tblCellMar>
            <w:top w:w="15" w:type="dxa"/>
            <w:left w:w="15" w:type="dxa"/>
            <w:bottom w:w="15" w:type="dxa"/>
            <w:right w:w="15" w:type="dxa"/>
          </w:tblCellMar>
        </w:tblPrEx>
        <w:trPr>
          <w:trHeight w:val="2089" w:hRule="exac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第十条</w:t>
            </w:r>
            <w:r>
              <w:rPr>
                <w:rFonts w:hint="eastAsia" w:ascii="仿宋" w:hAnsi="仿宋" w:eastAsia="仿宋" w:cs="仿宋"/>
                <w:color w:val="auto"/>
                <w:sz w:val="32"/>
                <w:szCs w:val="32"/>
              </w:rPr>
              <w:t>　各级人民政府应根据有利于物资交流，方便群众购销的原则，把集贸市场建设纳入城镇建设总体规划，统一安排，合理设置。建设集贸市场要符合防火、卫生的要求，不得妨碍交通。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第十一条</w:t>
            </w:r>
            <w:r>
              <w:rPr>
                <w:rFonts w:hint="eastAsia" w:ascii="仿宋" w:hAnsi="仿宋" w:eastAsia="仿宋" w:cs="仿宋"/>
                <w:color w:val="auto"/>
                <w:sz w:val="32"/>
                <w:szCs w:val="32"/>
              </w:rPr>
              <w:t>　各级人民政府应鼓励有关部门、企业事业单位、社会团体和个人，按照“谁建设、谁受益”的原则，以多种形式建设集贸市场。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第十二条</w:t>
            </w:r>
            <w:r>
              <w:rPr>
                <w:rFonts w:hint="eastAsia" w:ascii="仿宋" w:hAnsi="仿宋" w:eastAsia="仿宋" w:cs="仿宋"/>
                <w:color w:val="auto"/>
                <w:sz w:val="32"/>
                <w:szCs w:val="32"/>
              </w:rPr>
              <w:t>　集贸市场的场地和设施，任何单位和个人都不得侵占、破坏和非法拆迁。</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第十三条</w:t>
            </w:r>
            <w:r>
              <w:rPr>
                <w:rFonts w:hint="eastAsia" w:ascii="仿宋" w:hAnsi="仿宋" w:eastAsia="仿宋" w:cs="仿宋"/>
                <w:color w:val="auto"/>
                <w:sz w:val="32"/>
                <w:szCs w:val="32"/>
              </w:rPr>
              <w:t>　凡在集贸市场长期从事经营活动的单位和个人，均须持有营业执照。经营食品的，按《吉林省食品卫生管理条例》的规定执行。</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第十四条</w:t>
            </w:r>
            <w:r>
              <w:rPr>
                <w:rFonts w:hint="eastAsia" w:ascii="仿宋" w:hAnsi="仿宋" w:eastAsia="仿宋" w:cs="仿宋"/>
                <w:color w:val="auto"/>
                <w:sz w:val="32"/>
                <w:szCs w:val="32"/>
              </w:rPr>
              <w:t>　工商行政管理部门根据商品属性，可划定专门经营区域，上市商品要划行归市，摆放整齐，从事经营活动的单位和个人必须服从统一安排。</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第十五条</w:t>
            </w:r>
            <w:r>
              <w:rPr>
                <w:rFonts w:hint="eastAsia" w:ascii="仿宋" w:hAnsi="仿宋" w:eastAsia="仿宋" w:cs="仿宋"/>
                <w:color w:val="auto"/>
                <w:sz w:val="32"/>
                <w:szCs w:val="32"/>
              </w:rPr>
              <w:t>　工商行政管理部门应在集贸市场设立公平秤（尺）。轻工、肉类及其制品、水产品、家禽、干鲜果品、粮油等行业要逐步实行信誉卡售货制度。</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第十六条　</w:t>
            </w:r>
            <w:r>
              <w:rPr>
                <w:rFonts w:hint="eastAsia" w:ascii="仿宋" w:hAnsi="仿宋" w:eastAsia="仿宋" w:cs="仿宋"/>
                <w:color w:val="auto"/>
                <w:sz w:val="32"/>
                <w:szCs w:val="32"/>
              </w:rPr>
              <w:t>单位和个人出售机动车辆（包括客货汽车、拖拉机、摩托车等）必须证照齐全。由买方持车辆交易票据和证照到有关部门办理更名、落籍手续。</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单位和个人出售旧自行车以及其</w:t>
            </w:r>
            <w:r>
              <w:rPr>
                <w:rFonts w:hint="eastAsia" w:ascii="仿宋" w:hAnsi="仿宋" w:eastAsia="仿宋" w:cs="仿宋"/>
                <w:color w:val="auto"/>
                <w:sz w:val="32"/>
                <w:szCs w:val="32"/>
                <w:lang w:eastAsia="zh-CN"/>
              </w:rPr>
              <w:t>它</w:t>
            </w:r>
            <w:r>
              <w:rPr>
                <w:rFonts w:hint="eastAsia" w:ascii="仿宋" w:hAnsi="仿宋" w:eastAsia="仿宋" w:cs="仿宋"/>
                <w:color w:val="auto"/>
                <w:sz w:val="32"/>
                <w:szCs w:val="32"/>
              </w:rPr>
              <w:t>非机动车辆，须持有关证照到指定市场出售。</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第十七条</w:t>
            </w:r>
            <w:r>
              <w:rPr>
                <w:rFonts w:hint="eastAsia" w:ascii="仿宋" w:hAnsi="仿宋" w:eastAsia="仿宋" w:cs="仿宋"/>
                <w:color w:val="auto"/>
                <w:sz w:val="32"/>
                <w:szCs w:val="32"/>
              </w:rPr>
              <w:t>　单位和</w:t>
            </w:r>
            <w:r>
              <w:rPr>
                <w:rFonts w:hint="eastAsia" w:ascii="仿宋" w:hAnsi="仿宋" w:eastAsia="仿宋" w:cs="仿宋"/>
                <w:color w:val="auto"/>
                <w:sz w:val="32"/>
                <w:szCs w:val="32"/>
                <w:lang w:eastAsia="zh-CN"/>
              </w:rPr>
              <w:t>个人</w:t>
            </w:r>
            <w:r>
              <w:rPr>
                <w:rFonts w:hint="eastAsia" w:ascii="仿宋" w:hAnsi="仿宋" w:eastAsia="仿宋" w:cs="仿宋"/>
                <w:color w:val="auto"/>
                <w:sz w:val="32"/>
                <w:szCs w:val="32"/>
              </w:rPr>
              <w:t>出售自养的大牲畜，须持有村民委员会或牲畜所有单位开具的证明和畜牧部门的有效检疫证明，到指定市场交易。</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在县级以上人民政府临时划定的疫区内，不准进行牲畜交易。</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第十八条</w:t>
            </w:r>
            <w:r>
              <w:rPr>
                <w:rFonts w:hint="eastAsia" w:ascii="仿宋" w:hAnsi="仿宋" w:eastAsia="仿宋" w:cs="仿宋"/>
                <w:color w:val="auto"/>
                <w:sz w:val="32"/>
                <w:szCs w:val="32"/>
              </w:rPr>
              <w:t>　在集贸市场行医，须持有其长期居住地县级以上人民政府卫生行政部门核发的医师执业证书。</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第十九条</w:t>
            </w:r>
            <w:r>
              <w:rPr>
                <w:rFonts w:hint="eastAsia" w:ascii="仿宋" w:hAnsi="仿宋" w:eastAsia="仿宋" w:cs="仿宋"/>
                <w:color w:val="auto"/>
                <w:sz w:val="32"/>
                <w:szCs w:val="32"/>
              </w:rPr>
              <w:t>　在集贸市场出售商品的价格，由买卖双方议定。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第二十条</w:t>
            </w:r>
            <w:r>
              <w:rPr>
                <w:rFonts w:hint="eastAsia" w:ascii="仿宋" w:hAnsi="仿宋" w:eastAsia="仿宋" w:cs="仿宋"/>
                <w:color w:val="auto"/>
                <w:sz w:val="32"/>
                <w:szCs w:val="32"/>
              </w:rPr>
              <w:t>　集贸市场禁止下列行为：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（一）使用国家明令禁止或不合格的计量器具，以及破坏计量器具准确度；</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（二）短尺少秤；</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（三）排斥或控制他人的正常交易活动；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（四）强买强卖、欺行霸市；</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（五）哄抬物价、互相串通垄断价格；</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（六）赌博、看相、测字、算命；</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（七）法律、法规禁止的其他行为。</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第二十一条　</w:t>
            </w:r>
            <w:r>
              <w:rPr>
                <w:rFonts w:hint="eastAsia" w:ascii="仿宋" w:hAnsi="仿宋" w:eastAsia="仿宋" w:cs="仿宋"/>
                <w:color w:val="auto"/>
                <w:sz w:val="32"/>
                <w:szCs w:val="32"/>
              </w:rPr>
              <w:t>公安机关按照集贸市场治安管理的需要，设立市场治安派出所或公安值班室。</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第二十二条</w:t>
            </w:r>
            <w:r>
              <w:rPr>
                <w:rFonts w:hint="eastAsia" w:ascii="仿宋" w:hAnsi="仿宋" w:eastAsia="仿宋" w:cs="仿宋"/>
                <w:color w:val="auto"/>
                <w:sz w:val="32"/>
                <w:szCs w:val="32"/>
              </w:rPr>
              <w:t>　在集贸市场从事经营活动的单位和个人，应依法纳税，并接受税务机关的监督检查。</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财政部门要从市场税收中给工商行政管理部门适当返还部分资金，用于偿还市场建设贷款。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第二十三条</w:t>
            </w:r>
            <w:r>
              <w:rPr>
                <w:rFonts w:hint="eastAsia" w:ascii="仿宋" w:hAnsi="仿宋" w:eastAsia="仿宋" w:cs="仿宋"/>
                <w:color w:val="auto"/>
                <w:sz w:val="32"/>
                <w:szCs w:val="32"/>
              </w:rPr>
              <w:t>　凡在集贸市场出售商品的单位和个人，均应向工商行政管理部门缴纳市场管理费。旧汽车、旧拖拉机、大牲畜和木材的收费率为成交额的百分之一；新汽车验证收费率为成交额的千分之三；农副产品、轻工产品和其他商品的收费率为成交额的百分之二；劳务性</w:t>
            </w:r>
            <w:r>
              <w:rPr>
                <w:rFonts w:hint="eastAsia" w:ascii="仿宋" w:hAnsi="仿宋" w:eastAsia="仿宋" w:cs="仿宋"/>
                <w:color w:val="auto"/>
                <w:sz w:val="32"/>
                <w:szCs w:val="32"/>
                <w:lang w:eastAsia="zh-CN"/>
              </w:rPr>
              <w:t>经营</w:t>
            </w:r>
            <w:r>
              <w:rPr>
                <w:rFonts w:hint="eastAsia" w:ascii="仿宋" w:hAnsi="仿宋" w:eastAsia="仿宋" w:cs="仿宋"/>
                <w:color w:val="auto"/>
                <w:sz w:val="32"/>
                <w:szCs w:val="32"/>
              </w:rPr>
              <w:t>的收费率为收入的百分之三。</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市场管理费由工商行政管理部门统一收取，必须用于市场建设、市场管理等方面的支出，不得挪作</w:t>
            </w:r>
            <w:r>
              <w:rPr>
                <w:rFonts w:hint="eastAsia" w:ascii="仿宋" w:hAnsi="仿宋" w:eastAsia="仿宋" w:cs="仿宋"/>
                <w:color w:val="auto"/>
                <w:sz w:val="32"/>
                <w:szCs w:val="32"/>
                <w:lang w:eastAsia="zh-CN"/>
              </w:rPr>
              <w:t>他</w:t>
            </w:r>
            <w:r>
              <w:rPr>
                <w:rFonts w:hint="eastAsia" w:ascii="仿宋" w:hAnsi="仿宋" w:eastAsia="仿宋" w:cs="仿宋"/>
                <w:color w:val="auto"/>
                <w:sz w:val="32"/>
                <w:szCs w:val="32"/>
              </w:rPr>
              <w:t>用。</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第二十四条</w:t>
            </w:r>
            <w:r>
              <w:rPr>
                <w:rFonts w:hint="eastAsia" w:ascii="仿宋" w:hAnsi="仿宋" w:eastAsia="仿宋" w:cs="仿宋"/>
                <w:color w:val="auto"/>
                <w:sz w:val="32"/>
                <w:szCs w:val="32"/>
              </w:rPr>
              <w:t>　任何部门和单位不准超出法律、法规规定的范围在集贸市场收费；凡在集贸市场收费，必须经工商行政管理部门同意；对乱收费、乱摊派的，工商行政管理部门有权制止，经营者可以拒付。</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对农民在集贸市场出售自产</w:t>
            </w:r>
            <w:r>
              <w:rPr>
                <w:rFonts w:hint="eastAsia" w:ascii="仿宋" w:hAnsi="仿宋" w:eastAsia="仿宋" w:cs="仿宋"/>
                <w:color w:val="auto"/>
                <w:sz w:val="32"/>
                <w:szCs w:val="32"/>
                <w:lang w:eastAsia="zh-CN"/>
              </w:rPr>
              <w:t>农</w:t>
            </w:r>
            <w:r>
              <w:rPr>
                <w:rFonts w:hint="eastAsia" w:ascii="仿宋" w:hAnsi="仿宋" w:eastAsia="仿宋" w:cs="仿宋"/>
                <w:color w:val="auto"/>
                <w:sz w:val="32"/>
                <w:szCs w:val="32"/>
              </w:rPr>
              <w:t>副产品的，各有关行政管理部门要给予优惠。具体办法由县</w:t>
            </w:r>
            <w:r>
              <w:rPr>
                <w:rFonts w:hint="eastAsia" w:ascii="仿宋" w:hAnsi="仿宋" w:eastAsia="仿宋" w:cs="仿宋"/>
                <w:color w:val="auto"/>
                <w:sz w:val="32"/>
                <w:szCs w:val="32"/>
                <w:lang w:eastAsia="zh-CN"/>
              </w:rPr>
              <w:t>级</w:t>
            </w:r>
            <w:r>
              <w:rPr>
                <w:rFonts w:hint="eastAsia" w:ascii="仿宋" w:hAnsi="仿宋" w:eastAsia="仿宋" w:cs="仿宋"/>
                <w:color w:val="auto"/>
                <w:sz w:val="32"/>
                <w:szCs w:val="32"/>
              </w:rPr>
              <w:t>以上人民政府制定。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第二十五条　</w:t>
            </w:r>
            <w:r>
              <w:rPr>
                <w:rFonts w:hint="eastAsia" w:ascii="仿宋" w:hAnsi="仿宋" w:eastAsia="仿宋" w:cs="仿宋"/>
                <w:color w:val="auto"/>
                <w:sz w:val="32"/>
                <w:szCs w:val="32"/>
              </w:rPr>
              <w:t>市场管理人员必须佩戴统一标志，遵守管理人员守则，廉洁奉公，文明管理，礼貌服务。</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ascii="宋体" w:hAnsi="宋体" w:eastAsia="宋体" w:cs="宋体"/>
                <w:color w:val="auto"/>
                <w:sz w:val="32"/>
                <w:szCs w:val="32"/>
              </w:rPr>
            </w:pPr>
            <w:r>
              <w:rPr>
                <w:rFonts w:hint="eastAsia" w:ascii="黑体" w:hAnsi="黑体" w:eastAsia="黑体" w:cs="黑体"/>
                <w:color w:val="auto"/>
                <w:sz w:val="32"/>
                <w:szCs w:val="32"/>
              </w:rPr>
              <w:t>第四章　罚则</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第二十六条</w:t>
            </w:r>
            <w:r>
              <w:rPr>
                <w:rFonts w:hint="eastAsia" w:ascii="仿宋" w:hAnsi="仿宋" w:eastAsia="仿宋" w:cs="仿宋"/>
                <w:color w:val="auto"/>
                <w:sz w:val="32"/>
                <w:szCs w:val="32"/>
              </w:rPr>
              <w:t>　对违反本条例的行为，按以下规定处罚：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（一）违反本条例第十三条规定，无营业执照经营的，没收</w:t>
            </w:r>
            <w:r>
              <w:rPr>
                <w:rFonts w:hint="eastAsia" w:ascii="仿宋" w:hAnsi="仿宋" w:eastAsia="仿宋" w:cs="仿宋"/>
                <w:color w:val="auto"/>
                <w:sz w:val="32"/>
                <w:szCs w:val="32"/>
                <w:lang w:eastAsia="zh-CN"/>
              </w:rPr>
              <w:t>违法</w:t>
            </w:r>
            <w:r>
              <w:rPr>
                <w:rFonts w:hint="eastAsia" w:ascii="仿宋" w:hAnsi="仿宋" w:eastAsia="仿宋" w:cs="仿宋"/>
                <w:color w:val="auto"/>
                <w:sz w:val="32"/>
                <w:szCs w:val="32"/>
              </w:rPr>
              <w:t>所得，并处20元至500元罚款；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（二）违反本条例规定，销售第九条第（三）项、第（四）项、第（五）项禁止上市物品的，责令其停止销售，没收全部非法收入和未售出的物品；情节严重的，吊销营业执照；</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（三）违反本条例第二十条第（一）项规定的，没收其计量器具和全部</w:t>
            </w:r>
            <w:r>
              <w:rPr>
                <w:rFonts w:hint="eastAsia" w:ascii="仿宋" w:hAnsi="仿宋" w:eastAsia="仿宋" w:cs="仿宋"/>
                <w:color w:val="auto"/>
                <w:sz w:val="32"/>
                <w:szCs w:val="32"/>
                <w:lang w:eastAsia="zh-CN"/>
              </w:rPr>
              <w:t>违法</w:t>
            </w:r>
            <w:r>
              <w:rPr>
                <w:rFonts w:hint="eastAsia" w:ascii="仿宋" w:hAnsi="仿宋" w:eastAsia="仿宋" w:cs="仿宋"/>
                <w:color w:val="auto"/>
                <w:sz w:val="32"/>
                <w:szCs w:val="32"/>
              </w:rPr>
              <w:t>所得，可并处2000元以下罚款；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（四）违反本条例第二十条第（二）项规定且屡教不改的，处</w:t>
            </w:r>
            <w:r>
              <w:rPr>
                <w:rFonts w:hint="eastAsia" w:ascii="仿宋" w:hAnsi="仿宋" w:eastAsia="仿宋" w:cs="仿宋"/>
                <w:color w:val="auto"/>
                <w:sz w:val="32"/>
                <w:szCs w:val="32"/>
                <w:lang w:eastAsia="zh-CN"/>
              </w:rPr>
              <w:t>以</w:t>
            </w:r>
            <w:r>
              <w:rPr>
                <w:rFonts w:hint="eastAsia" w:ascii="仿宋" w:hAnsi="仿宋" w:eastAsia="仿宋" w:cs="仿宋"/>
                <w:color w:val="auto"/>
                <w:sz w:val="32"/>
                <w:szCs w:val="32"/>
              </w:rPr>
              <w:t>2000元以下罚款；情节严</w:t>
            </w:r>
            <w:r>
              <w:rPr>
                <w:rFonts w:hint="eastAsia" w:ascii="仿宋" w:hAnsi="仿宋" w:eastAsia="仿宋" w:cs="仿宋"/>
                <w:color w:val="auto"/>
                <w:sz w:val="32"/>
                <w:szCs w:val="32"/>
                <w:lang w:eastAsia="zh-CN"/>
              </w:rPr>
              <w:t>重</w:t>
            </w:r>
            <w:r>
              <w:rPr>
                <w:rFonts w:hint="eastAsia" w:ascii="仿宋" w:hAnsi="仿宋" w:eastAsia="仿宋" w:cs="仿宋"/>
                <w:color w:val="auto"/>
                <w:sz w:val="32"/>
                <w:szCs w:val="32"/>
              </w:rPr>
              <w:t>的，按投机倒把行为处理；</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（五）违反本条例第二十条第（三）项、第（四）项规定的，给予警告，没收全部</w:t>
            </w:r>
            <w:r>
              <w:rPr>
                <w:rFonts w:hint="eastAsia" w:ascii="仿宋" w:hAnsi="仿宋" w:eastAsia="仿宋" w:cs="仿宋"/>
                <w:color w:val="auto"/>
                <w:sz w:val="32"/>
                <w:szCs w:val="32"/>
                <w:lang w:eastAsia="zh-CN"/>
              </w:rPr>
              <w:t>违法</w:t>
            </w:r>
            <w:r>
              <w:rPr>
                <w:rFonts w:hint="eastAsia" w:ascii="仿宋" w:hAnsi="仿宋" w:eastAsia="仿宋" w:cs="仿宋"/>
                <w:color w:val="auto"/>
                <w:sz w:val="32"/>
                <w:szCs w:val="32"/>
              </w:rPr>
              <w:t>所得；情节严重的，吊销营业执照；</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（六）违反本条例第十八条规定，在市场内非法行医的，予以取缔，并处50元至100元罚款；</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（七）违反本条例第二十三条规定，拒缴市场管理费，责令其暂停经营或停业整顿；对情节严重的个体工商户，可以扣缴或吊销营业执照。</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第二十七条</w:t>
            </w:r>
            <w:r>
              <w:rPr>
                <w:rFonts w:hint="eastAsia" w:ascii="仿宋" w:hAnsi="仿宋" w:eastAsia="仿宋" w:cs="仿宋"/>
                <w:color w:val="auto"/>
                <w:sz w:val="32"/>
                <w:szCs w:val="32"/>
              </w:rPr>
              <w:t>　违反本条例规定，销售第九条第（一）项、第（二）项、第（六）项禁止上市物品和违反第七条、第十七条、第二十条第（五）项、第（六）项、第（七）项规定的，按照有关法律、法规、规章规定处罚。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第二十八条</w:t>
            </w:r>
            <w:r>
              <w:rPr>
                <w:rFonts w:hint="eastAsia" w:ascii="仿宋" w:hAnsi="仿宋" w:eastAsia="仿宋" w:cs="仿宋"/>
                <w:color w:val="auto"/>
                <w:sz w:val="32"/>
                <w:szCs w:val="32"/>
              </w:rPr>
              <w:t>　对违反本条例规定的行为，由工商、技术监督、卫生等行政管理部门依据各自职责予以行政处罚。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对违反治安管理的行为，由公安机关依照《中华人民共和国治安管理处罚条例》予以处罚。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rPr>
              <w:t>对违反本条例构成犯罪的，由司法机关依法追究刑事责任。</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第二十九条</w:t>
            </w:r>
            <w:r>
              <w:rPr>
                <w:rFonts w:hint="eastAsia" w:ascii="仿宋" w:hAnsi="仿宋" w:eastAsia="仿宋" w:cs="仿宋"/>
                <w:color w:val="auto"/>
                <w:sz w:val="32"/>
                <w:szCs w:val="32"/>
              </w:rPr>
              <w:t>　对个体工商户违反本条例处50元以下罚款，对法人或其他组织违反本条例处1000元以下罚款</w:t>
            </w:r>
            <w:r>
              <w:rPr>
                <w:rFonts w:hint="eastAsia" w:ascii="仿宋" w:hAnsi="仿宋" w:eastAsia="仿宋" w:cs="仿宋"/>
                <w:color w:val="auto"/>
                <w:sz w:val="32"/>
                <w:szCs w:val="32"/>
                <w:lang w:eastAsia="zh-CN"/>
              </w:rPr>
              <w:t>的</w:t>
            </w:r>
            <w:r>
              <w:rPr>
                <w:rFonts w:hint="eastAsia" w:ascii="仿宋" w:hAnsi="仿宋" w:eastAsia="仿宋" w:cs="仿宋"/>
                <w:color w:val="auto"/>
                <w:sz w:val="32"/>
                <w:szCs w:val="32"/>
              </w:rPr>
              <w:t>，由市场管理机构当场作出行政处罚决定。</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第三十条</w:t>
            </w:r>
            <w:r>
              <w:rPr>
                <w:rFonts w:hint="eastAsia" w:ascii="仿宋" w:hAnsi="仿宋" w:eastAsia="仿宋" w:cs="仿宋"/>
                <w:color w:val="auto"/>
                <w:sz w:val="32"/>
                <w:szCs w:val="32"/>
              </w:rPr>
              <w:t>　对行政管理机关的处罚不服的，可在接到处罚通知书或应当知道处罚之日起十五日内，向作出处罚决定的上一级机关申请复议；对复议决定不服的，可以依法向人民法院起诉；当事人也可直接向人民法院起诉。当事人逾期不申请复议，又不向人民法院起诉，也不履行处罚决定的，可由作出处罚决定的机关申请人民法院强制执行。</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hint="eastAsia" w:ascii="仿宋" w:hAnsi="仿宋" w:eastAsia="仿宋" w:cs="仿宋"/>
                <w:color w:val="auto"/>
                <w:sz w:val="32"/>
                <w:szCs w:val="32"/>
              </w:rPr>
            </w:pPr>
            <w:r>
              <w:rPr>
                <w:rFonts w:hint="eastAsia" w:ascii="黑体" w:hAnsi="黑体" w:eastAsia="黑体" w:cs="黑体"/>
                <w:color w:val="auto"/>
                <w:sz w:val="32"/>
                <w:szCs w:val="32"/>
              </w:rPr>
              <w:t>第三十一条</w:t>
            </w:r>
            <w:r>
              <w:rPr>
                <w:rFonts w:hint="eastAsia" w:ascii="仿宋" w:hAnsi="仿宋" w:eastAsia="仿宋" w:cs="仿宋"/>
                <w:color w:val="auto"/>
                <w:sz w:val="32"/>
                <w:szCs w:val="32"/>
              </w:rPr>
              <w:t>　市场行政管理人员违反本条例第二十五条规定的，由行政主管部门给予其行政处分；对徇私舞弊、贪污受贿的，根据国家有关法律、法规、规定惩处。</w:t>
            </w:r>
          </w:p>
        </w:tc>
      </w:tr>
      <w:tr>
        <w:tblPrEx>
          <w:tblLayout w:type="fixed"/>
          <w:tblCellMar>
            <w:top w:w="15" w:type="dxa"/>
            <w:left w:w="15" w:type="dxa"/>
            <w:bottom w:w="15" w:type="dxa"/>
            <w:right w:w="15" w:type="dxa"/>
          </w:tblCellMar>
        </w:tblPrEx>
        <w:trPr>
          <w:trHeight w:val="37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jc w:val="center"/>
              <w:textAlignment w:val="auto"/>
              <w:outlineLvl w:val="9"/>
              <w:rPr>
                <w:rFonts w:ascii="宋体" w:hAnsi="宋体" w:eastAsia="宋体" w:cs="宋体"/>
                <w:color w:val="auto"/>
                <w:sz w:val="32"/>
                <w:szCs w:val="32"/>
              </w:rPr>
            </w:pPr>
            <w:r>
              <w:rPr>
                <w:rFonts w:hint="eastAsia" w:ascii="黑体" w:hAnsi="黑体" w:eastAsia="黑体" w:cs="黑体"/>
                <w:color w:val="auto"/>
                <w:sz w:val="32"/>
                <w:szCs w:val="32"/>
              </w:rPr>
              <w:t>第五章　附则</w:t>
            </w:r>
          </w:p>
        </w:tc>
      </w:tr>
      <w:tr>
        <w:tblPrEx>
          <w:tblLayout w:type="fixed"/>
          <w:tblCellMar>
            <w:top w:w="15" w:type="dxa"/>
            <w:left w:w="15" w:type="dxa"/>
            <w:bottom w:w="15" w:type="dxa"/>
            <w:right w:w="15" w:type="dxa"/>
          </w:tblCellMar>
        </w:tblPrEx>
        <w:trPr>
          <w:trHeight w:val="1365" w:hRule="atLeast"/>
          <w:tblCellSpacing w:w="15" w:type="dxa"/>
        </w:trPr>
        <w:tc>
          <w:tcPr>
            <w:tcW w:w="8907" w:type="dxa"/>
            <w:vAlign w:val="center"/>
          </w:tcPr>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ascii="宋体" w:hAnsi="宋体" w:eastAsia="宋体" w:cs="宋体"/>
                <w:color w:val="auto"/>
                <w:sz w:val="32"/>
                <w:szCs w:val="32"/>
              </w:rPr>
            </w:pPr>
          </w:p>
          <w:p>
            <w:pPr>
              <w:keepNext w:val="0"/>
              <w:keepLines w:val="0"/>
              <w:pageBreakBefore w:val="0"/>
              <w:widowControl/>
              <w:kinsoku/>
              <w:wordWrap/>
              <w:overflowPunct/>
              <w:topLinePunct w:val="0"/>
              <w:autoSpaceDE/>
              <w:autoSpaceDN/>
              <w:bidi w:val="0"/>
              <w:adjustRightInd w:val="0"/>
              <w:snapToGrid/>
              <w:spacing w:after="0" w:line="300" w:lineRule="auto"/>
              <w:ind w:left="0" w:leftChars="0" w:right="0" w:rightChars="0" w:firstLine="632" w:firstLineChars="200"/>
              <w:textAlignment w:val="auto"/>
              <w:outlineLvl w:val="9"/>
              <w:rPr>
                <w:rFonts w:ascii="宋体" w:hAnsi="宋体" w:eastAsia="宋体" w:cs="宋体"/>
                <w:color w:val="auto"/>
                <w:sz w:val="32"/>
                <w:szCs w:val="32"/>
              </w:rPr>
            </w:pPr>
            <w:r>
              <w:rPr>
                <w:rFonts w:hint="eastAsia" w:ascii="黑体" w:hAnsi="黑体" w:eastAsia="黑体" w:cs="黑体"/>
                <w:color w:val="auto"/>
                <w:sz w:val="32"/>
                <w:szCs w:val="32"/>
              </w:rPr>
              <w:t>第三十二条</w:t>
            </w:r>
            <w:r>
              <w:rPr>
                <w:rFonts w:hint="eastAsia" w:ascii="仿宋" w:hAnsi="仿宋" w:eastAsia="仿宋" w:cs="仿宋"/>
                <w:color w:val="auto"/>
                <w:sz w:val="32"/>
                <w:szCs w:val="32"/>
              </w:rPr>
              <w:t>　本条例自公布之日起</w:t>
            </w:r>
            <w:r>
              <w:rPr>
                <w:rFonts w:hint="eastAsia" w:ascii="仿宋" w:hAnsi="仿宋" w:eastAsia="仿宋" w:cs="仿宋"/>
                <w:color w:val="auto"/>
                <w:sz w:val="32"/>
                <w:szCs w:val="32"/>
                <w:lang w:eastAsia="zh-CN"/>
              </w:rPr>
              <w:t>施行</w:t>
            </w:r>
            <w:r>
              <w:rPr>
                <w:rFonts w:hint="eastAsia" w:ascii="仿宋" w:hAnsi="仿宋" w:eastAsia="仿宋" w:cs="仿宋"/>
                <w:color w:val="auto"/>
                <w:sz w:val="32"/>
                <w:szCs w:val="32"/>
              </w:rPr>
              <w:t>。</w:t>
            </w:r>
            <w:r>
              <w:rPr>
                <w:rFonts w:hint="eastAsia" w:ascii="仿宋" w:hAnsi="仿宋" w:eastAsia="仿宋" w:cs="仿宋"/>
                <w:color w:val="FF0000"/>
                <w:sz w:val="32"/>
                <w:szCs w:val="32"/>
                <w:lang w:eastAsia="zh-CN"/>
              </w:rPr>
              <w:t>一九八五</w:t>
            </w:r>
            <w:r>
              <w:rPr>
                <w:rFonts w:hint="eastAsia" w:ascii="仿宋" w:hAnsi="仿宋" w:eastAsia="仿宋" w:cs="仿宋"/>
                <w:color w:val="FF0000"/>
                <w:sz w:val="32"/>
                <w:szCs w:val="32"/>
              </w:rPr>
              <w:t>年</w:t>
            </w:r>
            <w:r>
              <w:rPr>
                <w:rFonts w:hint="eastAsia" w:ascii="仿宋" w:hAnsi="仿宋" w:eastAsia="仿宋" w:cs="仿宋"/>
                <w:color w:val="FF0000"/>
                <w:sz w:val="32"/>
                <w:szCs w:val="32"/>
                <w:lang w:eastAsia="zh-CN"/>
              </w:rPr>
              <w:t>九</w:t>
            </w:r>
            <w:r>
              <w:rPr>
                <w:rFonts w:hint="eastAsia" w:ascii="仿宋" w:hAnsi="仿宋" w:eastAsia="仿宋" w:cs="仿宋"/>
                <w:color w:val="FF0000"/>
                <w:sz w:val="32"/>
                <w:szCs w:val="32"/>
              </w:rPr>
              <w:t>月</w:t>
            </w:r>
            <w:r>
              <w:rPr>
                <w:rFonts w:hint="eastAsia" w:ascii="仿宋" w:hAnsi="仿宋" w:eastAsia="仿宋" w:cs="仿宋"/>
                <w:color w:val="FF0000"/>
                <w:sz w:val="32"/>
                <w:szCs w:val="32"/>
                <w:lang w:eastAsia="zh-CN"/>
              </w:rPr>
              <w:t>二十九</w:t>
            </w:r>
            <w:r>
              <w:rPr>
                <w:rFonts w:hint="eastAsia" w:ascii="仿宋" w:hAnsi="仿宋" w:eastAsia="仿宋" w:cs="仿宋"/>
                <w:color w:val="FF0000"/>
                <w:sz w:val="32"/>
                <w:szCs w:val="32"/>
              </w:rPr>
              <w:t>日</w:t>
            </w:r>
            <w:r>
              <w:rPr>
                <w:rFonts w:hint="eastAsia" w:ascii="仿宋" w:hAnsi="仿宋" w:eastAsia="仿宋" w:cs="仿宋"/>
                <w:color w:val="auto"/>
                <w:sz w:val="32"/>
                <w:szCs w:val="32"/>
              </w:rPr>
              <w:t>吉林省第六届人民代表大会常务委员会第十五次会议通过的《</w:t>
            </w:r>
            <w:r>
              <w:rPr>
                <w:rFonts w:hint="eastAsia" w:ascii="仿宋" w:hAnsi="仿宋" w:eastAsia="仿宋" w:cs="仿宋"/>
                <w:color w:val="auto"/>
                <w:sz w:val="32"/>
                <w:szCs w:val="32"/>
              </w:rPr>
              <w:fldChar w:fldCharType="begin"/>
            </w:r>
            <w:r>
              <w:rPr>
                <w:rFonts w:hint="eastAsia" w:ascii="仿宋" w:hAnsi="仿宋" w:eastAsia="仿宋" w:cs="仿宋"/>
                <w:color w:val="auto"/>
                <w:sz w:val="32"/>
                <w:szCs w:val="32"/>
              </w:rPr>
              <w:instrText xml:space="preserve"> HYPERLINK "http://law.npc.gov.cn:80/FLFG/flfgByID.action?txtid=58&amp;flfgID=83491&amp;showDetailType=QW" </w:instrText>
            </w:r>
            <w:r>
              <w:rPr>
                <w:rFonts w:hint="eastAsia" w:ascii="仿宋" w:hAnsi="仿宋" w:eastAsia="仿宋" w:cs="仿宋"/>
                <w:color w:val="auto"/>
                <w:sz w:val="32"/>
                <w:szCs w:val="32"/>
              </w:rPr>
              <w:fldChar w:fldCharType="separate"/>
            </w:r>
            <w:r>
              <w:rPr>
                <w:rFonts w:hint="eastAsia" w:ascii="仿宋" w:hAnsi="仿宋" w:eastAsia="仿宋" w:cs="仿宋"/>
                <w:color w:val="auto"/>
                <w:sz w:val="32"/>
                <w:szCs w:val="32"/>
              </w:rPr>
              <w:t>吉林省城乡集市贸易管理条例</w:t>
            </w:r>
            <w:r>
              <w:rPr>
                <w:rFonts w:hint="eastAsia" w:ascii="仿宋" w:hAnsi="仿宋" w:eastAsia="仿宋" w:cs="仿宋"/>
                <w:color w:val="auto"/>
                <w:sz w:val="32"/>
                <w:szCs w:val="32"/>
              </w:rPr>
              <w:fldChar w:fldCharType="end"/>
            </w:r>
            <w:r>
              <w:rPr>
                <w:rFonts w:hint="eastAsia" w:ascii="仿宋" w:hAnsi="仿宋" w:eastAsia="仿宋" w:cs="仿宋"/>
                <w:color w:val="auto"/>
                <w:sz w:val="32"/>
                <w:szCs w:val="32"/>
              </w:rPr>
              <w:t>》同时废止。</w:t>
            </w:r>
          </w:p>
        </w:tc>
      </w:tr>
    </w:tbl>
    <w:p>
      <w:pPr>
        <w:spacing w:line="220" w:lineRule="atLeast"/>
        <w:rPr>
          <w:sz w:val="28"/>
          <w:szCs w:val="28"/>
        </w:rPr>
      </w:pPr>
    </w:p>
    <w:sectPr>
      <w:footerReference r:id="rId3" w:type="default"/>
      <w:footerReference r:id="rId4" w:type="even"/>
      <w:pgSz w:w="11906" w:h="16838"/>
      <w:pgMar w:top="2041" w:right="1531" w:bottom="2041" w:left="1531" w:header="708" w:footer="709" w:gutter="0"/>
      <w:paperSrc/>
      <w:cols w:space="0" w:num="1"/>
      <w:rtlGutter w:val="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楷体">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BolsterBold">
    <w:panose1 w:val="00000000000000000000"/>
    <w:charset w:val="00"/>
    <w:family w:val="auto"/>
    <w:pitch w:val="default"/>
    <w:sig w:usb0="00000000" w:usb1="00000000" w:usb2="00000000" w:usb3="00000000" w:csb0="00000000" w:csb1="00000000"/>
  </w:font>
  <w:font w:name="Bodoni MT Condensed">
    <w:panose1 w:val="02070606080606020203"/>
    <w:charset w:val="00"/>
    <w:family w:val="auto"/>
    <w:pitch w:val="default"/>
    <w:sig w:usb0="00000003" w:usb1="00000000" w:usb2="00000000" w:usb3="00000000" w:csb0="20000001" w:csb1="00000000"/>
  </w:font>
  <w:font w:name="Bodoni MT Black">
    <w:panose1 w:val="02070A03080606020203"/>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舒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文星简小标宋">
    <w:panose1 w:val="02010609000101010101"/>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left:376.5pt;margin-top:-46.7pt;height:144pt;width:144p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left:20.85pt;margin-top:-47.5pt;height:144pt;width:144pt;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snapToGrid w:val="0"/>
                  <w:rPr>
                    <w:rFonts w:hint="eastAsia" w:eastAsia="楷体"/>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720"/>
  <w:evenAndOddHeaders w:val="1"/>
  <w:drawingGridHorizontalSpacing w:val="158"/>
  <w:drawingGridVerticalSpacing w:val="290"/>
  <w:displayHorizontalDrawingGridEvery w:val="2"/>
  <w:displayVerticalDrawingGridEvery w:val="2"/>
  <w:characterSpacingControl w:val="doNotCompress"/>
  <w:hdrShapeDefaults>
    <o:shapelayout v:ext="edit">
      <o:idmap v:ext="edit" data="2"/>
    </o:shapelayout>
  </w:hdrShapeDefaults>
  <w:compat>
    <w:useFELayout/>
    <w:compatSetting w:name="compatibilityMode" w:uri="http://schemas.microsoft.com/office/word" w:val="12"/>
  </w:compat>
  <w:rsids>
    <w:rsidRoot w:val="00D31D50"/>
    <w:rsid w:val="00101438"/>
    <w:rsid w:val="00163FD2"/>
    <w:rsid w:val="00323B43"/>
    <w:rsid w:val="003D37D8"/>
    <w:rsid w:val="00426133"/>
    <w:rsid w:val="004358AB"/>
    <w:rsid w:val="006F117A"/>
    <w:rsid w:val="008B7726"/>
    <w:rsid w:val="009B47DC"/>
    <w:rsid w:val="00CA4F81"/>
    <w:rsid w:val="00D31D50"/>
    <w:rsid w:val="08AB022F"/>
    <w:rsid w:val="144F1FF2"/>
    <w:rsid w:val="1E2D7DCD"/>
    <w:rsid w:val="26FF5B17"/>
    <w:rsid w:val="2B1C443D"/>
    <w:rsid w:val="4AF50AF9"/>
    <w:rsid w:val="4E0E28A9"/>
    <w:rsid w:val="55FC7153"/>
    <w:rsid w:val="70DE1519"/>
    <w:rsid w:val="72556BDF"/>
    <w:rsid w:val="7D741FD2"/>
  </w:rsids>
  <m:mathPr>
    <m:lMargin m:val="0"/>
    <m:mathFont m:val="Cambria Math"/>
    <m:rMargin m:val="0"/>
    <m:wrapIndent m:val="1440"/>
    <m:brkBin m:val="before"/>
    <m:brkBinSub m:val="--"/>
    <m:defJc m:val="centerGroup"/>
    <m:intLim m:val="subSup"/>
    <m:naryLim m:val="undOvr"/>
    <m:smallFrac m:val="off"/>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楷体" w:cstheme="minorBidi"/>
      <w:sz w:val="32"/>
      <w:szCs w:val="22"/>
      <w:lang w:val="en-US" w:eastAsia="zh-CN" w:bidi="ar-SA"/>
    </w:rPr>
  </w:style>
  <w:style w:type="character" w:default="1" w:styleId="4">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jc w:val="center"/>
    </w:pPr>
    <w:rPr>
      <w:sz w:val="18"/>
      <w:szCs w:val="18"/>
    </w:rPr>
  </w:style>
  <w:style w:type="character" w:styleId="5">
    <w:name w:val="Hyperlink"/>
    <w:basedOn w:val="4"/>
    <w:unhideWhenUsed/>
    <w:qFormat/>
    <w:uiPriority w:val="99"/>
    <w:rPr>
      <w:color w:val="0000FF"/>
      <w:u w:val="none"/>
    </w:rPr>
  </w:style>
  <w:style w:type="character" w:customStyle="1" w:styleId="7">
    <w:name w:val="页眉 Char"/>
    <w:basedOn w:val="4"/>
    <w:link w:val="3"/>
    <w:semiHidden/>
    <w:qFormat/>
    <w:uiPriority w:val="99"/>
    <w:rPr>
      <w:rFonts w:ascii="Tahoma" w:hAnsi="Tahoma"/>
      <w:sz w:val="18"/>
      <w:szCs w:val="18"/>
    </w:rPr>
  </w:style>
  <w:style w:type="character" w:customStyle="1" w:styleId="8">
    <w:name w:val="页脚 Char"/>
    <w:basedOn w:val="4"/>
    <w:link w:val="2"/>
    <w:semiHidden/>
    <w:qFormat/>
    <w:uiPriority w:val="99"/>
    <w:rPr>
      <w:rFonts w:ascii="Tahoma" w:hAnsi="Tahoma"/>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A6CAF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585</Words>
  <Characters>3340</Characters>
  <Lines>27</Lines>
  <Paragraphs>7</Paragraphs>
  <ScaleCrop>false</ScaleCrop>
  <LinksUpToDate>false</LinksUpToDate>
  <CharactersWithSpaces>3918</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hehe</dc:creator>
  <cp:lastModifiedBy>hehe</cp:lastModifiedBy>
  <dcterms:modified xsi:type="dcterms:W3CDTF">2016-10-07T11:02:25Z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