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周口市公园条例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（2024年6月28日周口市第五届人民代表大会常务委员会第十一次会议通过　2024年8月3日河南省第十四届人民代表大会常务委员会第十次会议批准）</w:t>
      </w:r>
    </w:p>
    <w:p>
      <w:pPr>
        <w:rPr>
          <w:rFonts w:ascii="Times New Roman" w:eastAsia="宋体" w:hAnsi="Times New Roman" w:cs="宋体"/>
          <w:szCs w:val="32"/>
        </w:rPr>
      </w:pPr>
    </w:p>
    <w:p w14:paraId="57F2AA95">
      <w:pPr>
        <w:spacing w:line="24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eastAsia="楷体_GB2312" w:hAnsi="Times New Roman" w:cs="楷体_GB2312"/>
          <w:sz w:val="32"/>
        </w:rPr>
        <w:t>目　　录</w:t>
      </w:r>
    </w:p>
    <w:p w14:paraId="4D389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hAnsi="Times New Roman"/>
          <w:sz w:val="32"/>
        </w:rPr>
      </w:pPr>
      <w:r>
        <w:rPr>
          <w:rFonts w:ascii="Times New Roman" w:eastAsia="楷体_GB2312" w:hAnsi="Times New Roman" w:cs="楷体_GB2312"/>
          <w:sz w:val="32"/>
        </w:rPr>
        <w:t>第一章　总　　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hAnsi="Times New Roman"/>
          <w:sz w:val="32"/>
        </w:rPr>
      </w:pPr>
      <w:r>
        <w:rPr>
          <w:rFonts w:ascii="Times New Roman" w:eastAsia="楷体_GB2312" w:hAnsi="Times New Roman" w:cs="楷体_GB2312"/>
          <w:sz w:val="32"/>
        </w:rPr>
        <w:t>第二章　规划建设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hAnsi="Times New Roman"/>
          <w:sz w:val="32"/>
        </w:rPr>
      </w:pPr>
      <w:r>
        <w:rPr>
          <w:rFonts w:ascii="Times New Roman" w:eastAsia="楷体_GB2312" w:hAnsi="Times New Roman" w:cs="楷体_GB2312"/>
          <w:sz w:val="32"/>
        </w:rPr>
        <w:t>第三章　服务管理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hAnsi="Times New Roman"/>
          <w:sz w:val="32"/>
        </w:rPr>
      </w:pPr>
      <w:r>
        <w:rPr>
          <w:rFonts w:ascii="Times New Roman" w:eastAsia="楷体_GB2312" w:hAnsi="Times New Roman" w:cs="楷体_GB2312"/>
          <w:sz w:val="32"/>
        </w:rPr>
        <w:t>第四章　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hAnsi="Times New Roman"/>
          <w:sz w:val="32"/>
        </w:rPr>
      </w:pPr>
      <w:r>
        <w:rPr>
          <w:rFonts w:ascii="Times New Roman" w:eastAsia="楷体_GB2312" w:hAnsi="Times New Roman" w:cs="楷体_GB2312"/>
          <w:sz w:val="32"/>
        </w:rPr>
        <w:t>第五章　附　　则</w:t>
      </w:r>
    </w:p>
    <w:p>
      <w:pPr>
        <w:rPr>
          <w:rFonts w:ascii="Times New Roman" w:eastAsia="宋体" w:hAnsi="Times New Roman" w:cs="宋体"/>
          <w:szCs w:val="32"/>
        </w:rPr>
      </w:pPr>
    </w:p>
    <w:p w14:paraId="5888BCF4">
      <w:pPr>
        <w:jc w:val="center"/>
        <w:rPr>
          <w:rFonts w:ascii="Times New Roman" w:eastAsia="黑体" w:hAnsi="Times New Roman" w:cs="黑体"/>
          <w:szCs w:val="32"/>
        </w:rPr>
      </w:pPr>
      <w:r>
        <w:rPr>
          <w:rFonts w:ascii="Times New Roman" w:eastAsia="黑体" w:hAnsi="Times New Roman" w:cs="黑体" w:hint="eastAsia"/>
          <w:szCs w:val="32"/>
        </w:rPr>
        <w:t>第一章　总　　则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为了促进公园事业健康发展，改善生态和人居环境，根据有关法律、法规，结合本市实际，制定本条例。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本条例适用于本市行政区域内公园的规划、建设、服务和管理。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条例所称公园，是指具备良好绿化环境和较完善的服务设施，向公众开放的，具有休憩、健身、游览、娱乐、科普教育、防灾避险等功能的公共场所，包括综合公园、专类公园（动物园、植物园、历史名园、儿童公园等）、社区公园、游园等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本条例未作规定的，适用有关法律、法规的规定。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本市公园事业发展应当坚持党委领导、政府主导、社会参与、统一规划、规范建设、科学管理、服务公众的原则。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市、县（市）、区人民政府应当将公园事业发展纳入国民经济和社会发展规划，并将政府投资建设和管理的公园所需经费列入本级财政预算。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市、县（市）、区园林绿化主管部门是公园行政主管部门，负责本行政区域内公园的行业管理、业务指导和监督检查等工作。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发展改革、教育体育、公安、民政、财政、自然资源和规划、生态环境、住房和城乡建设、水利、文化和旅游、应急管理、市场监管、港航管理等部门，按照各自职责做好公园的服务管理等工作。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公园管理机构负责公园的日常管理和服务工作，并接受园林绿化主管部门和其他有关部门的监督、检查和指导。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政府投资建设的公园，由政府确定公园管理机构。非政府投资建设的公园，由建设单位负责，并报本级园林绿化主管部门备案；已经竣工验收移交政府的，由政府确定的公园管理机构负责。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公园实行名录管理。公园名录的确定及调整，由市、县（市）、区园林绿化主管部门提出，经同级人民政府批准后向社会公布。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公园名录应当包括公园名称、类别、等级、位置、面积、四至范围和管理单位等内容。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公园的名称应当体现功能定位、园区风貌、地域特色、历史文化内涵等，按照国家、省有关地名管理规定确定。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鼓励单位和个人通过投资、捐赠、参加志愿服务等方式，依法参与公园的建设、服务和管理。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任何单位和个人都应当遵守维护公园环境、保护公园设施的相关法律、法规，并有权对违反本条例的行为进行劝阻、投诉和举报。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r>
        <w:rPr>
          <w:rFonts w:ascii="Times New Roman" w:eastAsia="黑体" w:hAnsi="Times New Roman" w:cs="黑体" w:hint="eastAsia"/>
          <w:szCs w:val="32"/>
        </w:rPr>
        <w:t>第二章　规划建设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市、县（市）园林绿化主管部门应当会同自然资源和规划等部门，编制公园体系规划，报同级人民政府批准后实施。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经批准的公园体系规划不得擅自变更；确需变更的，公园数量和面积不得减少，并按照原审批程序报批。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编制公园体系规划应当符合下列要求：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（一）明确公园体系发展和保护目标，做到布局合理、覆盖均衡、体系完整、功能多样；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（二）符合十五分钟生活圈建设要求，科学规划公园的选址、面积和服务半径，方便公众使用；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（三）结合水环境治理、废弃地生态修复、老旧小区改造；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（四）改善城乡环境，鼓励利用荒滩、荒地；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（五）因地制宜，配套建设农村文体活动广场；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（六）科学布局防灾避险、人民防空和地下空间开发利用；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（七）充分利用资源禀赋，优先选择具有文化内涵和地方特色的区域；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（八）法律、法规规定的其他要求。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编制公园体系规划应当广泛征求意见，规划报送审批前，公示时间不得少于三十日。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新建、改建、扩建公园，应当根据公园体系规划以及国家、省相关技术标准和设计规范编制建设工程设计方案。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建设工程设计方案由自然资源和规划部门审批。审批时，应当征求园林绿化主管部门的意见。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经批准的建设工程设计方案不得擅自变更；确需变更的，应当按照原审批程序报批。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公园内应当按照规划和建设工程设计方案要求设置功能配套设施，严格控制设置商业服务设施。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公园内的餐厅、茶座、咖啡厅、商亭等配套服务设施应当统一规划，与游客容量相适应，严格控制数量和规模。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政府投资建设管理的公园和依托历史建筑建设的公园，禁止设置改变公园和历史建筑等公共资源属性、与公园功能无关的场所。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公园管理机构应当根据游客容量和公众需求，在公园内合理设置座椅、园灯、饮水、充电、厕所、垃圾箱等便民服务设施。有条件的公园应当设置志愿者服务站。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公园出入口、主要园路、建筑物出入口以及厕所等场所应当设置无障碍设施。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综合公园和有条件的社区公园应当配套建设健身步道、健身区、儿童户外活动场所，设置老年人休憩区、母婴室。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市、县（市）、区园林绿化主管部门应当根据防灾减灾相关规划，指导承担应急避险功能的公园配合建设相应的应急避险场所。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公园管理机构应当按照规定在公园内设置消防水源和消防设施，确保消防通道畅通。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滨河、滨湖公园应当设置安全防护设施，园内建筑和服务设施应当符合防洪、防涝的相关标准要求。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公园内设置游乐设施应当符合国家、省和本市有关技术、安全标准和规定。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公园内设置水、电、气、暖、通信等管线和其他市政设施，应当符合安全规范要求，与公园景观相协调，避开游客活动密集区域和主要景点，不得危及游客安全。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公园建设应当推广应用绿色照明、清洁能源、雨水收集、再生水利用、园林垃圾资源化利用等环保技术和新产品。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新建、改建、扩建公园应当因地制宜，通过选用耐水湿、吸附净化能力强的植物，建设储水池塘、下凹式绿地、人工湿地等设施，提高对雨水的吸纳、蓄渗和缓释作用，有效控制雨水径流。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任何单位和个人不得侵占公园用地、擅自改变公园用地性质；确需占用或者改变公园用地性质的，应当依法审批。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需要临时占用公园用地的，应当经园林绿化主管部门同意，并办理临时用地审批手续；临时占用结束后，建设单位应当及时恢复原状。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r>
        <w:rPr>
          <w:rFonts w:ascii="Times New Roman" w:eastAsia="黑体" w:hAnsi="Times New Roman" w:cs="黑体" w:hint="eastAsia"/>
          <w:szCs w:val="32"/>
        </w:rPr>
        <w:t>第三章　服务管理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公园管理机构应当履行下列职责：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（一）依据规划和有关规范、标准对公园进行维护和管理，配备相应的管理、技术、保洁、养护和安保人员；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（二）建立健全公园管理制度，根据需要制定公园管理细则和游园须知，并报园林绿化主管部门备案；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（三）保持公园设施和绿化景观良好，引导游客文明游园，维护正常游览秩序；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（四）管理公园内休憩、健身、配套商业服务等活动；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（五）加强公园内生物多样性保护，做好蚊、蝇、鼠、蟑螂、白蚁等病虫害防治；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（六）保护公园内古树名木、文物古迹和历史建筑等；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（七）应当履行的其他职责。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公园管理机构应当在公园主要出入口的显著位置设置公园简介、游园示意图、游园须知、管理机构名称和投诉、举报电话。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公园内应当设置指示标牌和公益宣传栏；健身、游乐等设施应当设置安全提示标志；危险区域应当设置安全警示标志和防护设施。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公园应当每天开放。因特殊情况需要闭园的，应当提前向社会公布，并向园林绿化主管部门备案。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支持有条件的公园在草坪、林下空间等区域划定开放共享区域，满足公众搭建帐篷、运动健身、休闲游憩等户外活动需求。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公园管理机构应当将开放共享区域、开放时间、活动类型等向社会公布。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公园管理机构应当加强应急预案的编制、宣传、演练，协同有关部门做好极端天气、自然灾害等突发事件防范应对工作。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遇有紧急情况或者突发事件，公园管理机构应当启动应急预案，采取有效措施，保障游客安全。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公园管理机构应当加强公园内配套服务项目经营活动的实施和管理。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支持社会资本进入公园配套服务领域，鼓励公园配套服务采取整体打包专业化运营等模式。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公园管理机构不得将公园内的管理用房改作经营用房或者出租、出借给单位或者个人使用。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政府管理的公园的配套商业设施、场地对外出租的，应当按照国有资产使用和管理的有关规定公开招标。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公园管理机构应当定期巡查养护公园内的景观水体，及时清理水面漂浮物，保持水体清洁。发现公园内水体污染、水位异常的，应当立即向生态环境、水利部门报告，并配合采取措施进行治理。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利用公园设施或者场地临时举办展览、宣传、演出、影视剧拍摄、商业摄影等活动的，应当符合相关管理规定，在指定地点和时间内进行，不得损坏公园设施和景观。活动结束后，举办方应当及时拆除临时设施，清除废弃物，将临时占用的公园景观、绿地、设施等恢复原状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进入公园的游客应当文明游园，爱护公园环境卫生。游览结束后，应当自行清理果皮、烟蒂、塑料制品、一次性餐食（饮料）、餐具等废弃物。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管理机构应当根据公园空间、设施条件和所在区域声环境功能区质量标准要求，结合公园主要功能和游客需求，确定不同区域环境噪声限值及禁止开展相关活动的时间，并在显著位置设置告示牌，向社会公布。公园内各区域的各类活动均不能超过相应的噪声限值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在公园内演奏、歌咏、甩鞭、打陀螺、健步走、跳广场舞等，应当遵守相关管理规定，采取有效措施，防止噪声污染。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有条件的公园应当合理设置机动车和非机动车停车位。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未经公园管理机构允许，车辆不得进入公园。下列车辆除外：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（一）老、幼、病、残者使用的专用车辆；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（二）专用观光车辆和施工、养护作业车辆；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（三）执行公务的公安、消防、救护、抢险等特种车辆。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进入公园的车辆应当按照规定的速度和路线行驶，并在指定地点停放。执行紧急任务的特种车辆除外。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设有自行车道的公园，应当允许未安装动力装置的自行车进入。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公园内禁止下列行为：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（一）散发商业性广告宣传品、流动兜售物品；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（二）翻越围墙、栏杆、绿篱，攀爬建筑、雕塑等；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（三）在非指定区域游泳、垂钓、宿营、洗涤污物等；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（四）非法捕捉、伤害动物，擅自放生动物等；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（五）违反规定携带犬只入园；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（六）酗酒、赌博或者进行算命、占卜等封建迷信活动；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（七）其他违反法律、法规和公序良俗的行为。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r>
        <w:rPr>
          <w:rFonts w:ascii="Times New Roman" w:eastAsia="黑体" w:hAnsi="Times New Roman" w:cs="黑体" w:hint="eastAsia"/>
          <w:szCs w:val="32"/>
        </w:rPr>
        <w:t>第四章　法律责任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违反本条例规定的行为，法律、法规已有法律责任规定的，从其规定。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违反本条例第二十九条规定，车辆擅自进入公园，或者进入公园的车辆未按照规定行驶、停放的，由园林绿化主管部门责令改正；拒不改正的，处五十元以上二百元以下罚款。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违反本条例第三十条第一项、第六项规定，劝阻无效的，由园林绿化主管部门给予警告，责令改正；拒不改正的，处二十元以上五十元以下罚款。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违反本条例第三十条第二项、第三项规定，劝阻无效的，由园林绿化主管部门给予警告，并处二十元以上五十元以下罚款；造成损失的，依法承担赔偿责任。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违反本条例第三十条第四项规定，由园林绿化主管部门责令改正；拒不改正的，处五十元以上二百元以下罚款。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县（市）、区园林绿化主管部门和其他有关部门、公园管理机构及其工作人员在公园管理过程中滥用职权、玩忽职守、徇私舞弊的，对直接负责的主管人员和其他直接责任人员依法给予处分；构成犯罪的，依法追究刑事责任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r>
        <w:rPr>
          <w:rFonts w:ascii="Times New Roman" w:eastAsia="黑体" w:hAnsi="Times New Roman" w:cs="黑体" w:hint="eastAsia"/>
          <w:szCs w:val="32"/>
        </w:rPr>
        <w:t>第五章　附　　则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开发区、示范区公园的规划、建设、服务和管理，参照本条例执行。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本条例自2025年1月1日起施行。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幼线_GBK">
    <w:panose1 w:val="02000000000000000000"/>
    <w:charset w:val="86"/>
    <w:family w:val="auto"/>
    <w:pitch w:val="default"/>
    <w:sig w:usb0="A00002BF" w:usb1="08CF7CFA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ODNhMzdkNWUzNjk1MjcyMWU0OGRjOWNkZTlmNTgwMWI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184</Characters>
  <Application>Microsoft Office Word</Application>
  <DocSecurity>0</DocSecurity>
  <Lines>87</Lines>
  <Paragraphs>24</Paragraphs>
  <ScaleCrop>false</ScaleCrop>
  <Company>Microsoft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look</cp:lastModifiedBy>
  <cp:revision>14</cp:revision>
  <cp:lastPrinted>2024-07-19T01:09:00Z</cp:lastPrinted>
  <dcterms:created xsi:type="dcterms:W3CDTF">2017-11-15T02:33:00Z</dcterms:created>
  <dcterms:modified xsi:type="dcterms:W3CDTF">2024-10-09T02:59:59Z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2052-12.1.0.18276</vt:lpwstr>
  </property>
</Properties>
</file>