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41E12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呼伦贝尔市人民代表大会及其常务委员会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206E826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（2016年2月28日呼伦贝尔市第三届人民代表大会第四次会议通过　2016年5月30日内蒙古自治区第十二届人民代表大会常务委员会第二十二次会议批准　根据2024年5月30日内蒙古自治区第十四届人民代表大会常务委员会第十次会议关于批准《呼伦贝尔市人民代表大会常务委员会关于修改〈呼伦贝尔市人民代表大会及其常务委员会立法条例〉的决定》的决议修正）</w:t>
      </w:r>
    </w:p>
    <w:p w14:paraId="7562477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10E460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呼伦贝尔市人民代表大会及其常务委员会的立法活动，完善立法程序，提高立法质量，发挥立法的引领和推动作用，全面推进依法治市，根据《中华人民共和国立法法》等有关法律、法规的规定，结合本市实际，制定本条例。</w:t>
      </w:r>
    </w:p>
    <w:p w14:paraId="41F273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0A8C6F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根据本市的具体情况和实际需要，在不同宪法、法律、行政法规和自治区的地方性法规相抵触的前提下，可以对城乡建设与管理、生态文明建设、历史文化保护、基层治理等方面的事项制定地方性法规。</w:t>
      </w:r>
    </w:p>
    <w:p w14:paraId="669273E0">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在市人民代表大会闭会期间，常务委员会可以对市人民代表大会制定的地方性法规进行部分补充或者修改，但不得同该法规的基本原则相抵触。</w:t>
      </w:r>
    </w:p>
    <w:p w14:paraId="3939CA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市人民代表大会及其常务委员会立法活动应当遵循以下指导思想和原则：</w:t>
      </w:r>
    </w:p>
    <w:p w14:paraId="30F2190A">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273928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14:paraId="0F709E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（三）坚持以经济建设为中心，坚持改革开放，完整、准确、全面贯彻新发展理念，推动呼伦贝尔市高质量发展，保障以中国式现代化全面推进中华民族伟大复兴；</w:t>
      </w:r>
    </w:p>
    <w:p w14:paraId="11795A8B">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（四）符合宪法的规定、原则和精神，依照法定的权限和程序，从国家整体利益出发，维护社会主义法制的统一、尊严、权威；</w:t>
      </w:r>
    </w:p>
    <w:p w14:paraId="1A75C430">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（五）坚持和发展全过程人民民主，尊重和保障人权，保障和促进社会公平正义。体现人民的意志，发扬社会主义民主，坚持立法公开，保障人民通过多种途径参与立法活动；</w:t>
      </w:r>
    </w:p>
    <w:p w14:paraId="014E469F">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（六）从实际出发，适应经济社会发展和全面深化改革的要求，科学合理地规定公民、法人和其他组织的权利与义务、国家机关的权力与责任；</w:t>
      </w:r>
    </w:p>
    <w:p w14:paraId="21991421">
      <w:pPr>
        <w:ind w:firstLine="632" w:firstLineChars="200"/>
        <w:rPr>
          <w:rFonts w:ascii="Times New Roman" w:hAnsi="Times New Roman" w:cs="仿宋_GB2312"/>
          <w:sz w:val="32"/>
          <w:szCs w:val="32"/>
        </w:rPr>
      </w:pPr>
      <w:r>
        <w:rPr>
          <w:rFonts w:hint="eastAsia" w:ascii="Times New Roman" w:hAnsi="Times New Roman" w:cs="仿宋_GB2312"/>
          <w:sz w:val="32"/>
          <w:szCs w:val="32"/>
        </w:rPr>
        <w:t>（七）倡导和弘扬社会主义核心价值观，坚持法治和德治相结合，推动社会主义精神文明建设；</w:t>
      </w:r>
    </w:p>
    <w:p w14:paraId="1B5969C1">
      <w:pPr>
        <w:ind w:firstLine="632" w:firstLineChars="200"/>
        <w:rPr>
          <w:rFonts w:ascii="Times New Roman" w:hAnsi="Times New Roman" w:cs="仿宋_GB2312"/>
          <w:sz w:val="32"/>
          <w:szCs w:val="32"/>
        </w:rPr>
      </w:pPr>
      <w:r>
        <w:rPr>
          <w:rFonts w:hint="eastAsia" w:ascii="Times New Roman" w:hAnsi="Times New Roman" w:cs="仿宋_GB2312"/>
          <w:sz w:val="32"/>
          <w:szCs w:val="32"/>
        </w:rPr>
        <w:t>（八）适应改革需要，坚持在法治下推进改革和在改革中完善法治相统一，引导、推动、规范、保障相关改革，发挥法治在国家治理体系和治理能力现代化中的重要作用。</w:t>
      </w:r>
    </w:p>
    <w:p w14:paraId="4DE604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市人民代表大会及其常务委员会应当坚持科学立法、民主立法、依法立法，通过制定、修改、废止、解释地方性法规等多种形式，增强立法的系统性、整体性、协同性、时效性。</w:t>
      </w:r>
    </w:p>
    <w:p w14:paraId="180FBF4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7F2144B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69A47E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市人民代表大会及其常务委员会应当加强对立法工作的组织协调，坚持党委领导、人大主导、政府依托、各方参与的立法工作格局。</w:t>
      </w:r>
    </w:p>
    <w:p w14:paraId="7601ABE8">
      <w:pPr>
        <w:rPr>
          <w:rFonts w:ascii="Times New Roman" w:hAnsi="Times New Roman" w:eastAsia="宋体" w:cs="宋体"/>
          <w:szCs w:val="32"/>
        </w:rPr>
      </w:pPr>
    </w:p>
    <w:p w14:paraId="3CF67CAD">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013CDCBE">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48425B11">
      <w:pPr>
        <w:rPr>
          <w:rFonts w:ascii="Times New Roman" w:hAnsi="Times New Roman" w:eastAsia="宋体" w:cs="宋体"/>
          <w:szCs w:val="32"/>
        </w:rPr>
      </w:pPr>
    </w:p>
    <w:p w14:paraId="24BC2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常务委员会通过立法规划、年度立法计划、专项立法计划等形式，加强对立法工作的统筹安排。</w:t>
      </w:r>
    </w:p>
    <w:p w14:paraId="3B3E0B5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14:paraId="42225D7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常务委员会法制工作机构负责编制立法规划、拟订立法计划的具体工作，并按照常务委员会的要求，督促立法规划和立法计划的落实。</w:t>
      </w:r>
    </w:p>
    <w:p w14:paraId="029E635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立法规划和立法计划应当报自治区人民代表大会常务委员会备案。</w:t>
      </w:r>
    </w:p>
    <w:p w14:paraId="5D8F7C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编制立法规划和立法计划时，应当认真研究代表议案和建议，广泛征集意见，深入调查研究，科学论证评估，根据经济社会发展和民主法治建设的需要，确定立法项目，提高立法的及时性和针对性。立法规划和立法计划由常务委员会主任会议通过，印发常务委员会会议并向社会公布。</w:t>
      </w:r>
    </w:p>
    <w:p w14:paraId="538629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3EDCCF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各有关机关或者部门提出立法建议项目时，应当同时提出立法建议项目草案及其说明。</w:t>
      </w:r>
    </w:p>
    <w:p w14:paraId="1F9B9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立法规划和立法计划，按照立法项目的内容，分别由常务委员会主任会议、市人民政府组织实施。</w:t>
      </w:r>
    </w:p>
    <w:p w14:paraId="6DAF1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立法规划和立法计划在执行中需要调整的，由有关机关或者部门提出报告，提请常务委员会主任会议决定。</w:t>
      </w:r>
    </w:p>
    <w:p w14:paraId="07A3CFE5">
      <w:pPr>
        <w:rPr>
          <w:rFonts w:ascii="Times New Roman" w:hAnsi="Times New Roman" w:eastAsia="宋体" w:cs="宋体"/>
          <w:szCs w:val="32"/>
        </w:rPr>
      </w:pPr>
    </w:p>
    <w:p w14:paraId="6D1710AE">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地方性法规草案的起草</w:t>
      </w:r>
    </w:p>
    <w:p w14:paraId="4A7E204A">
      <w:pPr>
        <w:rPr>
          <w:rFonts w:ascii="Times New Roman" w:hAnsi="Times New Roman" w:eastAsia="宋体" w:cs="宋体"/>
          <w:szCs w:val="32"/>
        </w:rPr>
      </w:pPr>
    </w:p>
    <w:p w14:paraId="4A5E22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列入立法计划的地方性法规项目，按照下列规定组织起草：</w:t>
      </w:r>
    </w:p>
    <w:p w14:paraId="43AB1E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（一）属于规范行政管理事项的，一般由市人民政府组织起草；</w:t>
      </w:r>
    </w:p>
    <w:p w14:paraId="08272E63">
      <w:pPr>
        <w:ind w:firstLine="632" w:firstLineChars="200"/>
        <w:rPr>
          <w:rFonts w:ascii="Times New Roman" w:hAnsi="Times New Roman" w:cs="仿宋_GB2312"/>
          <w:sz w:val="32"/>
          <w:szCs w:val="32"/>
        </w:rPr>
      </w:pPr>
      <w:r>
        <w:rPr>
          <w:rFonts w:hint="eastAsia" w:ascii="Times New Roman" w:hAnsi="Times New Roman" w:cs="仿宋_GB2312"/>
          <w:sz w:val="32"/>
          <w:szCs w:val="32"/>
        </w:rPr>
        <w:t>（二）综合性、全局性、基础性的重要地方性法规草案，可以由有关的专门委员会或者常务委员会有关工作机构组织起草；</w:t>
      </w:r>
    </w:p>
    <w:p w14:paraId="2968337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（三）专业性较强的地方性法规草案，可以吸收相关领域的专家参与起草工作，或者委托有关专家、教学科研单位、社会组织起草。</w:t>
      </w:r>
    </w:p>
    <w:p w14:paraId="3F96070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地方性法规草案起草工作由起草部门主要负责人负责。必要时，可以成立起草领导小组。</w:t>
      </w:r>
    </w:p>
    <w:p w14:paraId="5F0EDC8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有关的专门委员会或者常务委员会有关工作机构应当提前参与有关方面的地方性法规草案起草工作。</w:t>
      </w:r>
    </w:p>
    <w:p w14:paraId="6D5EBC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起草地方性法规草案，应当以铸牢中华民族共同体意识为工作主线，落实上位法规定和国家政策要求，符合实际需要。</w:t>
      </w:r>
    </w:p>
    <w:p w14:paraId="075728AC">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起草部门应当进行调查研究，采取座谈、论证、听证等方式，广泛听取有关部门、组织和社会公众等各方面的意见。</w:t>
      </w:r>
    </w:p>
    <w:p w14:paraId="5FACB0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有关的专门委员会或者常务委员会有关工作机构和人大专门委员会起草的地方性法规草案，涉及行政管理事项的，应当征求市人民政府的意见；涉及其他有关方面事项的，应当征求有关机关和组织的意见。</w:t>
      </w:r>
    </w:p>
    <w:p w14:paraId="43AAD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市人民政府向市人民代表大会及其常务委员会提出的地方性法规案，在提请审议前，应当对涉及地方性法规草案的不同意见协调一致，并经市人民政府常务会议或者全体会议讨论通过，由市长签署。</w:t>
      </w:r>
    </w:p>
    <w:p w14:paraId="013431A9">
      <w:pPr>
        <w:rPr>
          <w:rFonts w:ascii="Times New Roman" w:hAnsi="Times New Roman" w:eastAsia="宋体" w:cs="宋体"/>
          <w:szCs w:val="32"/>
        </w:rPr>
      </w:pPr>
    </w:p>
    <w:p w14:paraId="4964E80C">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1CF6B044">
      <w:pPr>
        <w:rPr>
          <w:rFonts w:ascii="Times New Roman" w:hAnsi="Times New Roman" w:eastAsia="宋体" w:cs="宋体"/>
          <w:szCs w:val="32"/>
        </w:rPr>
      </w:pPr>
    </w:p>
    <w:p w14:paraId="38F7DAE2">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市人民代表大会制定地方性法规程序</w:t>
      </w:r>
    </w:p>
    <w:p w14:paraId="2D5ECAB1">
      <w:pPr>
        <w:rPr>
          <w:rFonts w:ascii="Times New Roman" w:hAnsi="Times New Roman" w:eastAsia="宋体" w:cs="宋体"/>
          <w:szCs w:val="32"/>
        </w:rPr>
      </w:pPr>
    </w:p>
    <w:p w14:paraId="02775C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市人民代表大会主席团可以向市人民代表大会提出地方性法规案，由市人民代表大会会议审议。</w:t>
      </w:r>
    </w:p>
    <w:p w14:paraId="78861DB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49BD362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14:paraId="0560C7D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市人民代表大会专门委员会审议地方性法规案时，可以邀请提案人列席会议，发表意见。</w:t>
      </w:r>
    </w:p>
    <w:p w14:paraId="035C44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市人民代表大会闭会期间，向市人民代表大会提出的地方性法规案，可以先向常务委员会提出，经常务委员会会议依据本条例的有关程序审议后，决定提请市人民代表大会会议审议的，由常务委员会或者提案人向大会全体会议作说明。</w:t>
      </w:r>
    </w:p>
    <w:p w14:paraId="5EF4899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57E022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常务委员会决定提请市人民代表大会会议审议的地方性法规案，应当在会议举行的一个月前将地方性法规草案发给代表，并可以适时组织代表研读讨论，征求代表的意见。</w:t>
      </w:r>
    </w:p>
    <w:p w14:paraId="6DC09A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2E48DC5A">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6F5642A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5B47B70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10B358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审议通过后，印发大会全体会议。</w:t>
      </w:r>
    </w:p>
    <w:p w14:paraId="32EEF3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主席团常务主席可以召开各代表团团长会议，就地方性法规案中重大问题听取各代表团的审议意见，进行讨论，并将讨论的情况和意见向主席团汇报。</w:t>
      </w:r>
    </w:p>
    <w:p w14:paraId="5D1F1EB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主席团常务主席也可以就地方性法规案中重大的专门性问题，召集代表团推选的有关代表进行讨论，并将讨论的情况和意见向主席团报告。</w:t>
      </w:r>
    </w:p>
    <w:p w14:paraId="34B3A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7CEEF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14:paraId="0B1FD8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704A3BD9">
      <w:pPr>
        <w:rPr>
          <w:rFonts w:ascii="Times New Roman" w:hAnsi="Times New Roman" w:eastAsia="宋体" w:cs="宋体"/>
          <w:szCs w:val="32"/>
        </w:rPr>
      </w:pPr>
    </w:p>
    <w:p w14:paraId="2E6B8443">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市人民代表大会常务委员会制定地方性法规程序</w:t>
      </w:r>
    </w:p>
    <w:p w14:paraId="7E68B6FB">
      <w:pPr>
        <w:rPr>
          <w:rFonts w:ascii="Times New Roman" w:hAnsi="Times New Roman" w:eastAsia="宋体" w:cs="宋体"/>
          <w:szCs w:val="32"/>
        </w:rPr>
      </w:pPr>
    </w:p>
    <w:p w14:paraId="01C139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常务委员会主任会议可以向常务委员会提出地方性法规案，由常务委员会会议审议。</w:t>
      </w:r>
    </w:p>
    <w:p w14:paraId="67CFC09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常务委员会提出地方性法规案，由常务委员会主任会议决定列入常务委员会会议议程；市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14:paraId="03C5A78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常务委员会主任会议决定是否列入常务委员会会议议程，或者先交有关的专门委员会或者常务委员会有关工作机构提出是否列入会议议程的意见，再决定是否列入常务委员会会议议程；不列入常务委员会会议议程的，应当向常务委员会会议报告并向提案人说明。</w:t>
      </w:r>
    </w:p>
    <w:p w14:paraId="5FE1A0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拟列入常务委员会会议议程的地方性法规案，应当在常务委员会会议举行的一个月前提出。</w:t>
      </w:r>
    </w:p>
    <w:p w14:paraId="36497D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5A43D3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常务委员会主任会议决定提请常务委员会会议审议的地方性法规案，应当在会议举行的七日前将地方性法规草案及有关资料发给常务委员会组成人员。</w:t>
      </w:r>
    </w:p>
    <w:p w14:paraId="67A9D24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常务委员会组成人员在常务委员会会议审议地方性法规案之前，应当对地方性法规案进行研究，准备审议意见。</w:t>
      </w:r>
    </w:p>
    <w:p w14:paraId="2C8B4BD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65BAAF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一般应当经两次常务委员会会议审议后即交付表决，也可以在下次常务委员会会议上交付表决；根据审议情况，经常务委员会主任会议决定，也可以经过三次常务委员会会议审议后交付表决；调整事项较为单一、部分修改或者废止的地方性法规案，各方面的意见比较一致，或者遇有紧急情形的，也可以经一次常务委员会会议审议后即交付表决。</w:t>
      </w:r>
    </w:p>
    <w:p w14:paraId="3C9C8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常务委员会会议审议地方性法规案，一般召开分组会议审议。根据需要，也可以召开全体会议，对地方性法规草案中的主要问题进行审议。</w:t>
      </w:r>
    </w:p>
    <w:p w14:paraId="150539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常务委员会会议第一次审议地方性法规案，在全体会议上听取提案人的说明，由分组会议进行审议。</w:t>
      </w:r>
    </w:p>
    <w:p w14:paraId="349CD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常务委员会分组会议审议地方性法规案时，提案人应当派人听取意见，回答询问；根据需要，有关机关、组织应当派人介绍情况。</w:t>
      </w:r>
    </w:p>
    <w:p w14:paraId="44ACE8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或者常务委员会有关工作机构的重要意见没有采纳的，应当向有关的专门委员会或者常务委员会有关工作机构反馈。</w:t>
      </w:r>
    </w:p>
    <w:p w14:paraId="5B60083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6D23E3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常务委员会会议第二次审议地方性法规案，在全体会议上听取法制委员会关于地方性法规草案审议结果的报告，由分组会议或者全体会议对地方性法规草案修改稿进行审议。</w:t>
      </w:r>
    </w:p>
    <w:p w14:paraId="1B5AC23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地方性法规草案修改稿经常务委员会会议审议后，由法制委员会根据常务委员会组成人员的审议意见进行修改，提出地方性法规草案修改稿修改情况的报告和地方性法规草案表决稿。</w:t>
      </w:r>
    </w:p>
    <w:p w14:paraId="386E7C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常务委员会会议第三次审议地方性法规案，在全体会议上听取法制委员会关于地方性法规草案修改稿修改情况的报告，由分组会议对地方性法规草案第二次修改稿进行审议。</w:t>
      </w:r>
    </w:p>
    <w:p w14:paraId="40EDCB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法制委员会审议地方性法规案时，应当召开全体会议审议，根据需要，可以要求有关机关、组织派有关负责人说明情况。</w:t>
      </w:r>
    </w:p>
    <w:p w14:paraId="3EBEDB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列入常务委员会会议议程的地方性法规案，法制委员会、有关的专门委员会或者常务委员会有关工作机构应当听取各方面的意见。</w:t>
      </w:r>
    </w:p>
    <w:p w14:paraId="52C8FB6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4DD2C3D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46F42AF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常务委员会有关工作机构应当将地方性法规草案发送相关领域的市人民代表大会代表、上级人民代表大会常务委员会有关工作机构、下级人民代表大会常务委员会以及有关部门、组织和专家征求意见。</w:t>
      </w:r>
    </w:p>
    <w:p w14:paraId="7FE6F2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后将地方性法规草案及其修改的说明向社会公布，征求意见，但是经常务委员会主任会议决定不公布的除外。向社会公布征求意见的时间一般不少于三十日。征求意见的情况应当向社会通报。</w:t>
      </w:r>
    </w:p>
    <w:p w14:paraId="1C554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列入常务委员会会议议程的地方性法规案，常务委员会有关工作机构应当收集整理各方面提出的意见以及其他有关资料，印发常务委员会主任会议和法制委员会，并根据需要，印发常务委员会会议。</w:t>
      </w:r>
    </w:p>
    <w:p w14:paraId="4B80B4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14:paraId="045188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14:paraId="3AD05C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072CD8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地方性法规草案表决稿和修改地方性法规决定草案，由常务委员会主任会议决定提请常务委员会全体会议表决。</w:t>
      </w:r>
    </w:p>
    <w:p w14:paraId="4773A6D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6009DE20">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地方性法规草案表决稿和修改地方性法规决定草案交付表决，也可以决定暂不付表决，交法制委员会和有关的专门委员会或者常务委员会有关工作机构进一步研究。</w:t>
      </w:r>
    </w:p>
    <w:p w14:paraId="09FD84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常务委员会会议表决地方性法规草案表决稿和修改、废止地方性法规决定草案，由常务委员会全体组成人员的过半数通过。</w:t>
      </w:r>
    </w:p>
    <w:p w14:paraId="563E3A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683433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对多部地方性法规中涉及同类事项的个别条款进行修改，一并提出地方性法规案的，经常务委员会主任会议决定，可以合并表决，也可以分别表决。</w:t>
      </w:r>
    </w:p>
    <w:p w14:paraId="6A589FC0">
      <w:pPr>
        <w:rPr>
          <w:rFonts w:ascii="Times New Roman" w:hAnsi="Times New Roman" w:eastAsia="宋体" w:cs="宋体"/>
          <w:szCs w:val="32"/>
        </w:rPr>
      </w:pPr>
    </w:p>
    <w:p w14:paraId="503C422E">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地方性法规的报批和公布</w:t>
      </w:r>
    </w:p>
    <w:p w14:paraId="7D181BB1">
      <w:pPr>
        <w:rPr>
          <w:rFonts w:ascii="Times New Roman" w:hAnsi="Times New Roman" w:eastAsia="宋体" w:cs="宋体"/>
          <w:szCs w:val="32"/>
        </w:rPr>
      </w:pPr>
    </w:p>
    <w:p w14:paraId="4B9C93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市人民代表大会及其常务委员会报请自治区人民代表大会常务委员会批准的地方性法规，应当在拟审议通过一个月前，书面征求自治区人民代表大会有关的专门委员会或者常务委员会有关工作机构的意见。</w:t>
      </w:r>
    </w:p>
    <w:p w14:paraId="59C3B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市人民代表大会及其常务委员会表决通过的地方性法规，由市人民代表大会常务委员会报请自治区人民代表大会常务委员会批准。</w:t>
      </w:r>
    </w:p>
    <w:p w14:paraId="1F9D66A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法制工作委员会应当在地方性法规表决通过后三十日内将报请批准的书面报告、地方性法规文本及其说明和有关资料，报送自治区人民代表大会常务委员会。</w:t>
      </w:r>
    </w:p>
    <w:p w14:paraId="6B4E67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通过的地方性法规，经自治区人民代表大会常务委员会批准后，由市人民代表大会常务委员会发布公告予以公布，并在《呼伦贝尔市人民代表大会常务委员会公报》和《呼伦贝尔日报》以及呼伦贝尔市人大网上以规范汉字、蒙古文两种文字刊载。</w:t>
      </w:r>
    </w:p>
    <w:p w14:paraId="2A11B77E">
      <w:pPr>
        <w:ind w:firstLine="632" w:firstLineChars="200"/>
        <w:rPr>
          <w:rFonts w:ascii="Times New Roman" w:hAnsi="Times New Roman" w:cs="仿宋_GB2312"/>
          <w:sz w:val="32"/>
          <w:szCs w:val="32"/>
        </w:rPr>
      </w:pPr>
      <w:r>
        <w:rPr>
          <w:rFonts w:hint="eastAsia" w:ascii="Times New Roman" w:hAnsi="Times New Roman" w:cs="仿宋_GB2312"/>
          <w:sz w:val="32"/>
          <w:szCs w:val="32"/>
        </w:rPr>
        <w:t>在《呼伦贝尔市人民代表大会常务委员会公报》上刊登的地方性法规文本为标准文本。</w:t>
      </w:r>
    </w:p>
    <w:p w14:paraId="3F673A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地方性法规应当明确规定施行日期。</w:t>
      </w:r>
    </w:p>
    <w:p w14:paraId="4AFF168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地方性法规标题的题注应当载明制定机关、批准机关和通过日期。经过修改的地方性法规，应当依次载明修改机关、修改日期和批准机关、批准日期。</w:t>
      </w:r>
    </w:p>
    <w:p w14:paraId="3CCED3C4">
      <w:pPr>
        <w:rPr>
          <w:rFonts w:ascii="Times New Roman" w:hAnsi="Times New Roman" w:eastAsia="宋体" w:cs="宋体"/>
          <w:szCs w:val="32"/>
        </w:rPr>
      </w:pPr>
    </w:p>
    <w:p w14:paraId="2751FC3E">
      <w:pPr>
        <w:jc w:val="center"/>
        <w:rPr>
          <w:rFonts w:ascii="Times New Roman" w:hAnsi="Times New Roman" w:eastAsia="黑体" w:cs="黑体"/>
          <w:szCs w:val="32"/>
        </w:rPr>
      </w:pPr>
      <w:r>
        <w:rPr>
          <w:rFonts w:hint="eastAsia" w:ascii="Times New Roman" w:hAnsi="Times New Roman" w:eastAsia="黑体" w:cs="黑体"/>
          <w:szCs w:val="32"/>
        </w:rPr>
        <w:t>第五章　地方性法规的解释</w:t>
      </w:r>
    </w:p>
    <w:p w14:paraId="4829FAF6">
      <w:pPr>
        <w:rPr>
          <w:rFonts w:ascii="Times New Roman" w:hAnsi="Times New Roman" w:eastAsia="宋体" w:cs="宋体"/>
          <w:szCs w:val="32"/>
        </w:rPr>
      </w:pPr>
    </w:p>
    <w:p w14:paraId="42B4B3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市人民代表大会及其常务委员会通过的地方性法规的解释权属于常务委员会。</w:t>
      </w:r>
    </w:p>
    <w:p w14:paraId="46B170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市人民政府、市监察委员会、市中级人民法院、市人民检察院、市人民代表大会专门委员会，可以向常务委员会提出地方性法规解释要求。</w:t>
      </w:r>
    </w:p>
    <w:p w14:paraId="51F0F3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规定需要进一步明确具体含义或者制定后出现新情况需要明确适用依据的，有关的专门委员会或者常务委员会有关工作机构研究拟订地方性法规解释草案，由常务委员会主任会议决定列入常务委员会会议议程。</w:t>
      </w:r>
    </w:p>
    <w:p w14:paraId="487FD6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地方性法规解释草案经常务委员会会议审议，由法制委员会根据常务委员会组成人员的审议意见进行统一审议，提出解释草案表决稿。</w:t>
      </w:r>
    </w:p>
    <w:p w14:paraId="68B20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地方性法规解释草案表决稿，经常务委员会全体组成人员的过半数通过后，由常务委员会发布公告予以公布，并报自治区人民代表大会常务委员会备案。</w:t>
      </w:r>
    </w:p>
    <w:p w14:paraId="404E12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常务委员会作出的地方性法规解释同地方性法规具有同等效力。</w:t>
      </w:r>
    </w:p>
    <w:p w14:paraId="02A8C02E">
      <w:pPr>
        <w:rPr>
          <w:rFonts w:ascii="Times New Roman" w:hAnsi="Times New Roman" w:eastAsia="宋体" w:cs="宋体"/>
          <w:szCs w:val="32"/>
        </w:rPr>
      </w:pPr>
    </w:p>
    <w:p w14:paraId="40C26B0F">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0CFE885B">
      <w:pPr>
        <w:rPr>
          <w:rFonts w:ascii="Times New Roman" w:hAnsi="Times New Roman" w:eastAsia="宋体" w:cs="宋体"/>
          <w:szCs w:val="32"/>
        </w:rPr>
      </w:pPr>
    </w:p>
    <w:p w14:paraId="474D41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14:paraId="376920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向市人民代表大会及其常务委员会提出的地方性法规案，在列入会议议程前，提案人有权撤回。</w:t>
      </w:r>
    </w:p>
    <w:p w14:paraId="2BC349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w:t>
      </w:r>
    </w:p>
    <w:p w14:paraId="6835AB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常务委员会应当健全地方性法规清理工作长效机制。</w:t>
      </w:r>
    </w:p>
    <w:p w14:paraId="24B07AE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1A8E0AC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市人民政府、市监察委员会、市中级人民法院和市人民检察院可以根据地方性法规实施情况向市人民代表大会常务委员会提出关于地方性法规的修改意见或者建议。</w:t>
      </w:r>
    </w:p>
    <w:p w14:paraId="012E3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地方性法规的修改和废止程序，与制定程序相同。</w:t>
      </w:r>
    </w:p>
    <w:p w14:paraId="3F612CAB">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部分修改的地方性法规案，经市人民代表大会及其常务委员会审议后，由法制委员会提出该地方性法规修正草案审议结果的报告和修改该地方性法规决定草案。</w:t>
      </w:r>
    </w:p>
    <w:p w14:paraId="0824F2B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063D233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1D8CDE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65E82B1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法制委员会审议地方性法规案时，认为需要修改或者废止其他地方性法规相关规定的，应当提出处理意见。</w:t>
      </w:r>
    </w:p>
    <w:p w14:paraId="7AEB07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书面向常务委员会说明情况。</w:t>
      </w:r>
    </w:p>
    <w:p w14:paraId="4E8C00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市人民代表大会专门委员会、常务委员会工作机构，可以组织对有关地方性法规或者其中有关规定进行立法后评估。评估情况应当向常务委员会报告。</w:t>
      </w:r>
    </w:p>
    <w:p w14:paraId="1E0DFD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常务委员会法制工作机构，可以对地方性法规的询问予以答复，并报常务委员会备案。</w:t>
      </w:r>
    </w:p>
    <w:p w14:paraId="179AD2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4A5CA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有关的专门委员会、常务委员会工作机构加强立法宣传工作，通过多种形式发布立法信息、介绍情况、回应关切。</w:t>
      </w:r>
    </w:p>
    <w:p w14:paraId="781C36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14:paraId="218B5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市人民代表大会常务委员会按照《内蒙古自治区各级人民代表大会常务委员会规范性文件备案审查条例》审查报送备案的政府规章和其他规范性文件。</w:t>
      </w:r>
    </w:p>
    <w:p w14:paraId="5B891032">
      <w:pPr>
        <w:rPr>
          <w:rFonts w:ascii="Times New Roman" w:hAnsi="Times New Roman" w:eastAsia="宋体" w:cs="宋体"/>
          <w:szCs w:val="32"/>
        </w:rPr>
      </w:pPr>
    </w:p>
    <w:p w14:paraId="5FDD177A">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7EFC617">
      <w:pPr>
        <w:rPr>
          <w:rFonts w:ascii="Times New Roman" w:hAnsi="Times New Roman" w:eastAsia="宋体" w:cs="宋体"/>
          <w:szCs w:val="32"/>
        </w:rPr>
      </w:pPr>
    </w:p>
    <w:p w14:paraId="1909E1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制定地方性法规的经费，由市人民政府财政部门根据市人民代表大会常务委员会编制的立法计划列入预算。</w:t>
      </w:r>
    </w:p>
    <w:p w14:paraId="44C05D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本条例自2016年7月1日起施行。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8A2B47"/>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9162</Words>
  <Characters>9177</Characters>
  <Lines>87</Lines>
  <Paragraphs>24</Paragraphs>
  <TotalTime>4</TotalTime>
  <ScaleCrop>false</ScaleCrop>
  <LinksUpToDate>false</LinksUpToDate>
  <CharactersWithSpaces>9265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2024-11-25T06:03:38Z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