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Pr>
        <w:spacing w:line="560" w:lineRule="exact"/>
        <w:jc w:val="center"/>
        <w:rPr>
          <w:rFonts w:hint="eastAsia" w:asciiTheme="majorEastAsia" w:hAnsiTheme="majorEastAsia" w:eastAsiaTheme="majorEastAsia" w:cstheme="majorEastAsia"/>
          <w:sz w:val="44"/>
          <w:szCs w:val="44"/>
        </w:rPr>
      </w:pPr>
      <w:r>
        <w:rPr>
          <w:rFonts w:hint="eastAsia" w:asciiTheme="majorEastAsia" w:hAnsiTheme="majorEastAsia" w:eastAsiaTheme="majorEastAsia" w:cstheme="majorEastAsia"/>
          <w:sz w:val="44"/>
          <w:szCs w:val="44"/>
        </w:rPr>
        <w:t>咸宁市禁止燃放烟花爆竹条例</w:t>
      </w:r>
      <w:bookmarkStart w:id="0" w:name="_GoBack"/>
      <w:bookmarkEnd w:id="0"/>
    </w:p>
    <w:p>
      <w:pPr>
        <w:jc w:val="center"/>
        <w:rPr>
          <w:rFonts w:eastAsia="楷体_GB2312"/>
          <w:sz w:val="30"/>
          <w:szCs w:val="30"/>
        </w:rPr>
      </w:pPr>
    </w:p>
    <w:p>
      <w:pPr>
        <w:ind w:firstLine="640" w:firstLineChars="200"/>
        <w:rPr>
          <w:rFonts w:eastAsia="楷体_GB2312"/>
          <w:szCs w:val="32"/>
        </w:rPr>
      </w:pPr>
      <w:r>
        <w:rPr>
          <w:rFonts w:eastAsia="楷体_GB2312"/>
          <w:szCs w:val="32"/>
        </w:rPr>
        <w:t>（2017年8月31日咸宁市第五届人民代表大会常务委</w:t>
      </w:r>
    </w:p>
    <w:p>
      <w:pPr>
        <w:ind w:firstLine="640" w:firstLineChars="200"/>
        <w:rPr>
          <w:rFonts w:eastAsia="楷体_GB2312"/>
          <w:szCs w:val="32"/>
        </w:rPr>
      </w:pPr>
      <w:r>
        <w:rPr>
          <w:rFonts w:eastAsia="楷体_GB2312"/>
          <w:szCs w:val="32"/>
        </w:rPr>
        <w:t>员会第四次会议通过  2017年9月29日湖北省第十二</w:t>
      </w:r>
    </w:p>
    <w:p>
      <w:pPr>
        <w:ind w:firstLine="640" w:firstLineChars="200"/>
        <w:rPr>
          <w:rFonts w:eastAsia="楷体_GB2312"/>
          <w:szCs w:val="32"/>
        </w:rPr>
      </w:pPr>
      <w:r>
        <w:rPr>
          <w:rFonts w:eastAsia="楷体_GB2312"/>
          <w:szCs w:val="32"/>
        </w:rPr>
        <w:t>届人民代表大会常务委员会第三十次会议批准）</w:t>
      </w:r>
    </w:p>
    <w:p>
      <w:pPr>
        <w:ind w:firstLine="640" w:firstLineChars="200"/>
      </w:pPr>
    </w:p>
    <w:p>
      <w:pPr>
        <w:ind w:firstLine="640" w:firstLineChars="200"/>
      </w:pPr>
      <w:r>
        <w:rPr>
          <w:rFonts w:hint="eastAsia" w:ascii="黑体" w:eastAsia="黑体"/>
        </w:rPr>
        <w:t>第一条</w:t>
      </w:r>
      <w:r>
        <w:rPr>
          <w:rFonts w:hint="eastAsia"/>
        </w:rPr>
        <w:t xml:space="preserve">  为了保障公共安全和人身、财产安全，保护生态环境，根据《中华人民共和国大气污染防治法》《烟花爆竹安全管理条例》等有关法律、法规的规定，结合本市实际，制定本条例。</w:t>
      </w:r>
    </w:p>
    <w:p>
      <w:pPr>
        <w:ind w:firstLine="640" w:firstLineChars="200"/>
      </w:pPr>
      <w:r>
        <w:rPr>
          <w:rFonts w:hint="eastAsia" w:ascii="黑体" w:eastAsia="黑体"/>
        </w:rPr>
        <w:t>第二条</w:t>
      </w:r>
      <w:r>
        <w:rPr>
          <w:rFonts w:hint="eastAsia"/>
        </w:rPr>
        <w:t xml:space="preserve">  本条例所称烟花爆竹，是指能产生烟、光、声的各种烟花、鞭炮及礼花弹等具有易燃易爆危险的物品。</w:t>
      </w:r>
    </w:p>
    <w:p>
      <w:pPr>
        <w:ind w:firstLine="640" w:firstLineChars="200"/>
      </w:pPr>
      <w:r>
        <w:rPr>
          <w:rFonts w:hint="eastAsia" w:ascii="黑体" w:eastAsia="黑体"/>
        </w:rPr>
        <w:t>第三条</w:t>
      </w:r>
      <w:r>
        <w:rPr>
          <w:rFonts w:hint="eastAsia"/>
        </w:rPr>
        <w:t xml:space="preserve">  本市下列区域禁止燃放烟花爆竹：</w:t>
      </w:r>
    </w:p>
    <w:p>
      <w:pPr>
        <w:ind w:firstLine="640" w:firstLineChars="200"/>
      </w:pPr>
      <w:r>
        <w:rPr>
          <w:rFonts w:hint="eastAsia"/>
        </w:rPr>
        <w:t>（一）咸安区泉都大道、太乙大道、嫦娥大道、巨宁大道、107国道和常横线围合的区域，以及区人民政府确定并公告的其他区域；</w:t>
      </w:r>
    </w:p>
    <w:p>
      <w:pPr>
        <w:ind w:firstLine="640" w:firstLineChars="200"/>
      </w:pPr>
      <w:r>
        <w:rPr>
          <w:rFonts w:hint="eastAsia"/>
        </w:rPr>
        <w:t>（二）嘉鱼县、赤壁市、通城县、崇阳县、通山县人民政府在各自行政区域内确定并公告的区域。</w:t>
      </w:r>
    </w:p>
    <w:p>
      <w:pPr>
        <w:ind w:firstLine="640" w:firstLineChars="200"/>
      </w:pPr>
      <w:r>
        <w:rPr>
          <w:rFonts w:hint="eastAsia"/>
        </w:rPr>
        <w:t>在禁止燃放烟花爆竹的区域，县（市、区）人民政府应当统一设置警示标识。</w:t>
      </w:r>
    </w:p>
    <w:p>
      <w:pPr>
        <w:ind w:firstLine="640" w:firstLineChars="200"/>
      </w:pPr>
      <w:r>
        <w:rPr>
          <w:rFonts w:hint="eastAsia" w:ascii="黑体" w:eastAsia="黑体"/>
        </w:rPr>
        <w:t>第四条</w:t>
      </w:r>
      <w:r>
        <w:rPr>
          <w:rFonts w:hint="eastAsia"/>
        </w:rPr>
        <w:t xml:space="preserve">  任何单位或者个人不得在禁止燃放烟花爆竹的区域生产、经营、储存烟花爆竹。</w:t>
      </w:r>
    </w:p>
    <w:p>
      <w:pPr>
        <w:ind w:firstLine="640" w:firstLineChars="200"/>
      </w:pPr>
      <w:r>
        <w:rPr>
          <w:rFonts w:hint="eastAsia" w:ascii="黑体" w:eastAsia="黑体"/>
        </w:rPr>
        <w:t>第五条</w:t>
      </w:r>
      <w:r>
        <w:rPr>
          <w:rFonts w:hint="eastAsia"/>
        </w:rPr>
        <w:t xml:space="preserve">  本条例由市人民政府组织实施。</w:t>
      </w:r>
    </w:p>
    <w:p>
      <w:pPr>
        <w:ind w:firstLine="640" w:firstLineChars="200"/>
      </w:pPr>
      <w:r>
        <w:rPr>
          <w:rFonts w:hint="eastAsia"/>
        </w:rPr>
        <w:t>县（市、区）人民政府、咸宁高新技术产业开发区管理委员会负责管辖区域的禁止燃放烟花爆竹工作。</w:t>
      </w:r>
    </w:p>
    <w:p>
      <w:pPr>
        <w:ind w:firstLine="640" w:firstLineChars="200"/>
      </w:pPr>
      <w:r>
        <w:rPr>
          <w:rFonts w:hint="eastAsia"/>
        </w:rPr>
        <w:t>公安部门是禁止燃放烟花爆竹工作的主管部门。安全生产监督管理、工商行政管理、质量技术监督、环境保护、城市管理、民政等部门和供销合作社按照各自职责，做好禁止燃放烟花爆竹的相关工作。</w:t>
      </w:r>
    </w:p>
    <w:p>
      <w:pPr>
        <w:ind w:firstLine="640" w:firstLineChars="200"/>
      </w:pPr>
      <w:r>
        <w:rPr>
          <w:rFonts w:hint="eastAsia" w:ascii="黑体" w:eastAsia="黑体"/>
        </w:rPr>
        <w:t>第六条</w:t>
      </w:r>
      <w:r>
        <w:rPr>
          <w:rFonts w:hint="eastAsia"/>
        </w:rPr>
        <w:t xml:space="preserve">  镇（乡）人民政府、街道办事处负责管理所辖区域的禁止燃放烟花爆竹工作。</w:t>
      </w:r>
    </w:p>
    <w:p>
      <w:pPr>
        <w:ind w:firstLine="640" w:firstLineChars="200"/>
      </w:pPr>
      <w:r>
        <w:rPr>
          <w:rFonts w:hint="eastAsia"/>
        </w:rPr>
        <w:t>居（村）民委员会、物业服务企业做好禁止燃放烟花爆竹的宣传、巡查、告知、劝阻等工作。</w:t>
      </w:r>
    </w:p>
    <w:p>
      <w:pPr>
        <w:ind w:firstLine="640" w:firstLineChars="200"/>
      </w:pPr>
      <w:r>
        <w:rPr>
          <w:rFonts w:hint="eastAsia" w:ascii="黑体" w:eastAsia="黑体"/>
        </w:rPr>
        <w:t>第七条</w:t>
      </w:r>
      <w:r>
        <w:rPr>
          <w:rFonts w:hint="eastAsia"/>
        </w:rPr>
        <w:t xml:space="preserve">  国家机关、社会团体、企业事业单位及其他组织，负责本单位禁止燃放烟花爆竹的宣传教育和管理工作。</w:t>
      </w:r>
    </w:p>
    <w:p>
      <w:pPr>
        <w:ind w:firstLine="640" w:firstLineChars="200"/>
      </w:pPr>
      <w:r>
        <w:rPr>
          <w:rFonts w:hint="eastAsia"/>
        </w:rPr>
        <w:t>烟花爆竹相关行业协会应当加强行业自律，配合政府及相关部门做好禁止燃放烟花爆竹工作。</w:t>
      </w:r>
    </w:p>
    <w:p>
      <w:pPr>
        <w:ind w:firstLine="640" w:firstLineChars="200"/>
      </w:pPr>
      <w:r>
        <w:rPr>
          <w:rFonts w:hint="eastAsia"/>
        </w:rPr>
        <w:t>学校应当将禁止燃放烟花爆竹的规定纳入宣传教育的内容。</w:t>
      </w:r>
    </w:p>
    <w:p>
      <w:pPr>
        <w:ind w:firstLine="640" w:firstLineChars="200"/>
      </w:pPr>
      <w:r>
        <w:rPr>
          <w:rFonts w:hint="eastAsia"/>
        </w:rPr>
        <w:t>广播、电视、报刊、网络等媒体应当开展禁止燃放烟花爆竹的公益宣传。</w:t>
      </w:r>
    </w:p>
    <w:p>
      <w:pPr>
        <w:ind w:firstLine="640" w:firstLineChars="200"/>
      </w:pPr>
      <w:r>
        <w:rPr>
          <w:rFonts w:hint="eastAsia"/>
        </w:rPr>
        <w:t>未成年人的监护人对未成年人遵守本条例负有管理和教育责任。</w:t>
      </w:r>
    </w:p>
    <w:p>
      <w:pPr>
        <w:ind w:firstLine="640" w:firstLineChars="200"/>
      </w:pPr>
      <w:r>
        <w:rPr>
          <w:rFonts w:hint="eastAsia" w:ascii="黑体" w:eastAsia="黑体"/>
        </w:rPr>
        <w:t>第八条</w:t>
      </w:r>
      <w:r>
        <w:rPr>
          <w:rFonts w:hint="eastAsia"/>
        </w:rPr>
        <w:t xml:space="preserve">  禁止燃放烟花爆竹工作纳入社会治安综合治理目标管理。</w:t>
      </w:r>
    </w:p>
    <w:p>
      <w:pPr>
        <w:ind w:firstLine="640" w:firstLineChars="200"/>
      </w:pPr>
      <w:r>
        <w:rPr>
          <w:rFonts w:hint="eastAsia" w:ascii="黑体" w:eastAsia="黑体"/>
        </w:rPr>
        <w:t>第九条</w:t>
      </w:r>
      <w:r>
        <w:rPr>
          <w:rFonts w:hint="eastAsia"/>
        </w:rPr>
        <w:t xml:space="preserve">  任何单位和个人对违反本条例的行为均有权劝阻和举报。公安、安全生产监督管理等部门接到举报后应当及时调查处理，并对举报人的信息予以保密，保护举报人的合法权益。</w:t>
      </w:r>
    </w:p>
    <w:p>
      <w:pPr>
        <w:ind w:firstLine="640" w:firstLineChars="200"/>
      </w:pPr>
      <w:r>
        <w:rPr>
          <w:rFonts w:hint="eastAsia"/>
        </w:rPr>
        <w:t>对举报属实的单位和个人给予奖励，具体奖励办法由市人民政府制定并公告。</w:t>
      </w:r>
    </w:p>
    <w:p>
      <w:pPr>
        <w:ind w:firstLine="640" w:firstLineChars="200"/>
      </w:pPr>
      <w:r>
        <w:rPr>
          <w:rFonts w:hint="eastAsia" w:ascii="黑体" w:eastAsia="黑体"/>
        </w:rPr>
        <w:t>第十条</w:t>
      </w:r>
      <w:r>
        <w:rPr>
          <w:rFonts w:hint="eastAsia"/>
        </w:rPr>
        <w:t xml:space="preserve">  在禁止燃放烟花爆竹的区域，从事婚庆、宴席、殡仪等服务的经营者应当告知服务对象禁止燃放烟花爆竹的规定，不得为其提供燃放烟花爆竹的服务，对其燃放烟花爆竹的行为应当予以劝阻，劝阻无效的，应当及时向公安部门报告。</w:t>
      </w:r>
    </w:p>
    <w:p>
      <w:pPr>
        <w:ind w:firstLine="640" w:firstLineChars="200"/>
      </w:pPr>
      <w:r>
        <w:rPr>
          <w:rFonts w:hint="eastAsia" w:ascii="黑体" w:eastAsia="黑体"/>
        </w:rPr>
        <w:t>第十一条</w:t>
      </w:r>
      <w:r>
        <w:rPr>
          <w:rFonts w:hint="eastAsia"/>
        </w:rPr>
        <w:t xml:space="preserve">  在禁止燃放烟花爆竹的区域，单位燃放烟花爆竹的，由公安部门责令停止燃放，处500元罚款；个人燃放烟花爆竹的，由公安部门责令停止燃放，予以批评教育，处100元以上500元以下罚款。</w:t>
      </w:r>
    </w:p>
    <w:p>
      <w:pPr>
        <w:ind w:firstLine="640" w:firstLineChars="200"/>
      </w:pPr>
      <w:r>
        <w:rPr>
          <w:rFonts w:hint="eastAsia"/>
        </w:rPr>
        <w:t>国家工作人员燃放烟花爆竹的，除依照前款予以处罚外，并由相关单位依据职权给予批评教育、责令书面检查、通报批评等处理。</w:t>
      </w:r>
    </w:p>
    <w:p>
      <w:pPr>
        <w:ind w:firstLine="640" w:firstLineChars="200"/>
      </w:pPr>
      <w:r>
        <w:rPr>
          <w:rFonts w:hint="eastAsia"/>
        </w:rPr>
        <w:t>未成年人燃放烟花爆竹的，除依法予以处罚外，并责令监护人对其加以管教。</w:t>
      </w:r>
    </w:p>
    <w:p>
      <w:pPr>
        <w:ind w:firstLine="640" w:firstLineChars="200"/>
      </w:pPr>
      <w:r>
        <w:rPr>
          <w:rFonts w:hint="eastAsia" w:ascii="黑体" w:eastAsia="黑体"/>
        </w:rPr>
        <w:t>第十二条</w:t>
      </w:r>
      <w:r>
        <w:rPr>
          <w:rFonts w:hint="eastAsia"/>
        </w:rPr>
        <w:t xml:space="preserve">  在禁止燃放烟花爆竹的区域，从事婚庆、宴席、殡仪等服务的经营者，为服务对象提供燃放烟花爆竹服务的，由公安部门没收违法所得，并处500元以上2000元以下罚款，对单位负责人或者直接责任人处500元罚款；对服务对象燃放烟花爆竹行为未及时报告的，由公安部门责令改正，处500元罚款。</w:t>
      </w:r>
    </w:p>
    <w:p>
      <w:pPr>
        <w:ind w:firstLine="640" w:firstLineChars="200"/>
      </w:pPr>
      <w:r>
        <w:rPr>
          <w:rFonts w:hint="eastAsia" w:ascii="黑体" w:eastAsia="黑体"/>
        </w:rPr>
        <w:t>第十三条</w:t>
      </w:r>
      <w:r>
        <w:rPr>
          <w:rFonts w:hint="eastAsia"/>
        </w:rPr>
        <w:t xml:space="preserve">  在禁止燃放烟花爆竹的区域，生产、经营、储存烟花爆竹的，由安全生产监督管理、公安等部门依法处理。</w:t>
      </w:r>
    </w:p>
    <w:p>
      <w:pPr>
        <w:ind w:firstLine="640" w:firstLineChars="200"/>
      </w:pPr>
      <w:r>
        <w:rPr>
          <w:rFonts w:hint="eastAsia" w:ascii="黑体" w:eastAsia="黑体"/>
        </w:rPr>
        <w:t>第十四条</w:t>
      </w:r>
      <w:r>
        <w:rPr>
          <w:rFonts w:hint="eastAsia"/>
        </w:rPr>
        <w:t xml:space="preserve">  负有禁止燃放烟花爆竹管理职责的单位及其工作人员，有下列行为之一的，由其主管单位或者监察机关责令改正；情节严重的，对直接负责的主管人员和其他直接责任人员依法给予行政处分；构成犯罪的，依法追究刑事责任:</w:t>
      </w:r>
    </w:p>
    <w:p>
      <w:pPr>
        <w:ind w:firstLine="640" w:firstLineChars="200"/>
      </w:pPr>
      <w:r>
        <w:rPr>
          <w:rFonts w:hint="eastAsia"/>
        </w:rPr>
        <w:t>（一）不履行禁止燃放烟花爆竹管理职责的；</w:t>
      </w:r>
    </w:p>
    <w:p>
      <w:pPr>
        <w:ind w:firstLine="640" w:firstLineChars="200"/>
      </w:pPr>
      <w:r>
        <w:rPr>
          <w:rFonts w:hint="eastAsia"/>
        </w:rPr>
        <w:t>（二）对举报不受理、不及时调查处理的；</w:t>
      </w:r>
    </w:p>
    <w:p>
      <w:pPr>
        <w:ind w:firstLine="640" w:firstLineChars="200"/>
      </w:pPr>
      <w:r>
        <w:rPr>
          <w:rFonts w:hint="eastAsia"/>
        </w:rPr>
        <w:t>（三）违法实施行政处罚的；</w:t>
      </w:r>
    </w:p>
    <w:p>
      <w:pPr>
        <w:ind w:firstLine="640" w:firstLineChars="200"/>
      </w:pPr>
      <w:r>
        <w:rPr>
          <w:rFonts w:hint="eastAsia"/>
        </w:rPr>
        <w:t>（四）其他滥用职权、玩忽职守、徇私舞弊的。</w:t>
      </w:r>
    </w:p>
    <w:p>
      <w:pPr>
        <w:ind w:firstLine="640" w:firstLineChars="200"/>
      </w:pPr>
      <w:r>
        <w:rPr>
          <w:rFonts w:hint="eastAsia" w:ascii="黑体" w:eastAsia="黑体"/>
        </w:rPr>
        <w:t>第十五条</w:t>
      </w:r>
      <w:r>
        <w:rPr>
          <w:rFonts w:hint="eastAsia"/>
        </w:rPr>
        <w:t xml:space="preserve">  违反本条例规定，构成违反治安管理行为的，依法给予治安管理处罚；构成犯罪的，依法追究刑事责任；造成国家、集体、个人财产损失或者他人人身伤害的，依法承担民事责任。</w:t>
      </w:r>
    </w:p>
    <w:p>
      <w:pPr>
        <w:ind w:firstLine="640" w:firstLineChars="200"/>
      </w:pPr>
      <w:r>
        <w:rPr>
          <w:rFonts w:hint="eastAsia" w:ascii="黑体" w:eastAsia="黑体"/>
        </w:rPr>
        <w:t>第十六条</w:t>
      </w:r>
      <w:r>
        <w:rPr>
          <w:rFonts w:hint="eastAsia"/>
        </w:rPr>
        <w:t xml:space="preserve">  在禁止燃放烟花爆竹的区域，使用电子鞭炮、电子礼炮的，参照本条例执行。</w:t>
      </w:r>
    </w:p>
    <w:p>
      <w:pPr>
        <w:ind w:firstLine="640" w:firstLineChars="200"/>
      </w:pPr>
      <w:r>
        <w:rPr>
          <w:rFonts w:hint="eastAsia" w:ascii="黑体" w:eastAsia="黑体"/>
        </w:rPr>
        <w:t>第十七条</w:t>
      </w:r>
      <w:r>
        <w:rPr>
          <w:rFonts w:hint="eastAsia"/>
        </w:rPr>
        <w:t xml:space="preserve">  本条例自2018年1月1日起施行。</w:t>
      </w:r>
    </w:p>
    <w:p>
      <w:pPr>
        <w:ind w:firstLine="640" w:firstLineChars="200"/>
      </w:pPr>
    </w:p>
    <w:p/>
    <w:p>
      <w:pPr>
        <w:ind w:right="640"/>
      </w:pPr>
    </w:p>
    <w:sectPr>
      <w:footerReference r:id="rId3" w:type="default"/>
      <w:footerReference r:id="rId4" w:type="even"/>
      <w:pgSz w:w="11906" w:h="16838"/>
      <w:pgMar w:top="2381" w:right="1531" w:bottom="1701" w:left="1418" w:header="851" w:footer="1474" w:gutter="0"/>
      <w:pgNumType w:start="4"/>
      <w:cols w:space="425" w:num="1"/>
      <w:docGrid w:type="lines" w:linePitch="579"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
    <w:altName w:val="Courier New"/>
    <w:panose1 w:val="00000000000000000000"/>
    <w:charset w:val="00"/>
    <w:family w:val="roman"/>
    <w:pitch w:val="default"/>
    <w:sig w:usb0="00000000" w:usb1="00000000" w:usb2="00000000" w:usb3="00000000" w:csb0="00000001" w:csb1="00000000"/>
  </w:font>
  <w:font w:name="方正小标宋简体">
    <w:panose1 w:val="03000509000000000000"/>
    <w:charset w:val="86"/>
    <w:family w:val="script"/>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1439" w:wrap="around" w:vAnchor="text" w:hAnchor="page" w:x="8939" w:y="4"/>
      <w:tabs>
        <w:tab w:val="left" w:pos="1120"/>
      </w:tabs>
      <w:ind w:firstLine="140" w:firstLineChars="50"/>
      <w:rPr>
        <w:rStyle w:val="5"/>
        <w:rFonts w:ascii="宋体" w:hAnsi="宋体" w:eastAsia="宋体"/>
        <w:sz w:val="28"/>
        <w:szCs w:val="28"/>
      </w:rPr>
    </w:pPr>
    <w:r>
      <w:rPr>
        <w:rStyle w:val="5"/>
        <w:rFonts w:hint="eastAsia" w:ascii="宋体" w:hAnsi="宋体" w:eastAsia="宋体"/>
        <w:sz w:val="28"/>
        <w:szCs w:val="28"/>
      </w:rPr>
      <w:t xml:space="preserve">— </w:t>
    </w:r>
    <w:r>
      <w:rPr>
        <w:rStyle w:val="5"/>
        <w:rFonts w:hint="eastAsia" w:ascii="宋体" w:hAnsi="宋体" w:eastAsia="宋体"/>
        <w:sz w:val="28"/>
        <w:szCs w:val="28"/>
      </w:rPr>
      <w:fldChar w:fldCharType="begin"/>
    </w:r>
    <w:r>
      <w:rPr>
        <w:rStyle w:val="5"/>
        <w:rFonts w:hint="eastAsia" w:ascii="宋体" w:hAnsi="宋体" w:eastAsia="宋体"/>
        <w:sz w:val="28"/>
        <w:szCs w:val="28"/>
      </w:rPr>
      <w:instrText xml:space="preserve">PAGE  </w:instrText>
    </w:r>
    <w:r>
      <w:rPr>
        <w:rStyle w:val="5"/>
        <w:rFonts w:hint="eastAsia" w:ascii="宋体" w:hAnsi="宋体" w:eastAsia="宋体"/>
        <w:sz w:val="28"/>
        <w:szCs w:val="28"/>
      </w:rPr>
      <w:fldChar w:fldCharType="separate"/>
    </w:r>
    <w:r>
      <w:rPr>
        <w:rStyle w:val="5"/>
        <w:rFonts w:ascii="宋体" w:hAnsi="宋体" w:eastAsia="宋体"/>
        <w:sz w:val="28"/>
        <w:szCs w:val="28"/>
      </w:rPr>
      <w:t>5</w:t>
    </w:r>
    <w:r>
      <w:rPr>
        <w:rStyle w:val="5"/>
        <w:rFonts w:hint="eastAsia" w:ascii="宋体" w:hAnsi="宋体" w:eastAsia="宋体"/>
        <w:sz w:val="28"/>
        <w:szCs w:val="28"/>
      </w:rPr>
      <w:fldChar w:fldCharType="end"/>
    </w:r>
    <w:r>
      <w:rPr>
        <w:rStyle w:val="5"/>
        <w:rFonts w:hint="eastAsia" w:ascii="宋体" w:hAnsi="宋体" w:eastAsia="宋体"/>
        <w:sz w:val="28"/>
        <w:szCs w:val="28"/>
      </w:rPr>
      <w:t xml:space="preserve"> —</w:t>
    </w:r>
  </w:p>
  <w:p>
    <w:pPr>
      <w:pStyle w:val="2"/>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1439" w:h="579" w:hRule="exact" w:wrap="around" w:vAnchor="text" w:hAnchor="page" w:x="1419" w:y="-36"/>
      <w:ind w:firstLine="280" w:firstLineChars="100"/>
      <w:rPr>
        <w:rStyle w:val="5"/>
        <w:rFonts w:ascii="宋体" w:hAnsi="宋体" w:eastAsia="宋体"/>
        <w:sz w:val="28"/>
        <w:szCs w:val="28"/>
      </w:rPr>
    </w:pPr>
    <w:r>
      <w:rPr>
        <w:rStyle w:val="5"/>
        <w:rFonts w:hint="eastAsia" w:ascii="宋体" w:hAnsi="宋体" w:eastAsia="宋体"/>
        <w:sz w:val="28"/>
        <w:szCs w:val="28"/>
      </w:rPr>
      <w:t xml:space="preserve">— </w:t>
    </w:r>
    <w:r>
      <w:rPr>
        <w:rStyle w:val="5"/>
        <w:rFonts w:hint="eastAsia" w:ascii="宋体" w:hAnsi="宋体" w:eastAsia="宋体"/>
        <w:sz w:val="28"/>
        <w:szCs w:val="28"/>
      </w:rPr>
      <w:fldChar w:fldCharType="begin"/>
    </w:r>
    <w:r>
      <w:rPr>
        <w:rStyle w:val="5"/>
        <w:rFonts w:hint="eastAsia" w:ascii="宋体" w:hAnsi="宋体" w:eastAsia="宋体"/>
        <w:sz w:val="28"/>
        <w:szCs w:val="28"/>
      </w:rPr>
      <w:instrText xml:space="preserve">PAGE  </w:instrText>
    </w:r>
    <w:r>
      <w:rPr>
        <w:rStyle w:val="5"/>
        <w:rFonts w:hint="eastAsia" w:ascii="宋体" w:hAnsi="宋体" w:eastAsia="宋体"/>
        <w:sz w:val="28"/>
        <w:szCs w:val="28"/>
      </w:rPr>
      <w:fldChar w:fldCharType="separate"/>
    </w:r>
    <w:r>
      <w:rPr>
        <w:rStyle w:val="5"/>
        <w:rFonts w:ascii="宋体" w:hAnsi="宋体" w:eastAsia="宋体"/>
        <w:sz w:val="28"/>
        <w:szCs w:val="28"/>
      </w:rPr>
      <w:t>4</w:t>
    </w:r>
    <w:r>
      <w:rPr>
        <w:rStyle w:val="5"/>
        <w:rFonts w:hint="eastAsia" w:ascii="宋体" w:hAnsi="宋体" w:eastAsia="宋体"/>
        <w:sz w:val="28"/>
        <w:szCs w:val="28"/>
      </w:rPr>
      <w:fldChar w:fldCharType="end"/>
    </w:r>
    <w:r>
      <w:rPr>
        <w:rStyle w:val="5"/>
        <w:rFonts w:hint="eastAsia" w:ascii="宋体" w:hAnsi="宋体" w:eastAsia="宋体"/>
        <w:sz w:val="28"/>
        <w:szCs w:val="28"/>
      </w:rPr>
      <w:t xml:space="preserve"> —</w:t>
    </w:r>
  </w:p>
  <w:p>
    <w:pPr>
      <w:pStyle w:val="2"/>
      <w:ind w:right="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evenAndOddHeaders w:val="1"/>
  <w:drawingGridHorizontalSpacing w:val="160"/>
  <w:drawingGridVerticalSpacing w:val="579"/>
  <w:displayHorizontalDrawingGridEvery w:val="0"/>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D70800"/>
    <w:rsid w:val="00010F21"/>
    <w:rsid w:val="0005754E"/>
    <w:rsid w:val="001715C7"/>
    <w:rsid w:val="001E703B"/>
    <w:rsid w:val="00274063"/>
    <w:rsid w:val="003026AD"/>
    <w:rsid w:val="004963C3"/>
    <w:rsid w:val="005A1C2D"/>
    <w:rsid w:val="00646739"/>
    <w:rsid w:val="00652711"/>
    <w:rsid w:val="006750F0"/>
    <w:rsid w:val="006C2689"/>
    <w:rsid w:val="006D0664"/>
    <w:rsid w:val="00723C7D"/>
    <w:rsid w:val="00833B2A"/>
    <w:rsid w:val="009870EE"/>
    <w:rsid w:val="00CD7FB8"/>
    <w:rsid w:val="00D022A7"/>
    <w:rsid w:val="00D70800"/>
    <w:rsid w:val="00DC21DF"/>
    <w:rsid w:val="00E1000E"/>
    <w:rsid w:val="00F20277"/>
    <w:rsid w:val="00F60808"/>
    <w:rsid w:val="398076DF"/>
  </w:rsids>
  <m:mathPr>
    <m:lMargin m:val="0"/>
    <m:mathFont m:val="Cambria Math"/>
    <m:rMargin m:val="0"/>
    <m:wrapIndent m:val="1440"/>
    <m:brkBin m:val="before"/>
    <m:brkBinSub m:val="--"/>
    <m:defJc m:val="centerGroup"/>
    <m:intLim m:val="subSup"/>
    <m:naryLim m:val="undOvr"/>
    <m:smallFrac m:val="off"/>
    <m:dispDef/>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4">
    <w:name w:val="Default Paragraph Font"/>
    <w:unhideWhenUsed/>
    <w:qFormat/>
    <w:uiPriority w:val="1"/>
  </w:style>
  <w:style w:type="table" w:default="1" w:styleId="6">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szCs w:val="18"/>
    </w:rPr>
  </w:style>
  <w:style w:type="paragraph" w:styleId="3">
    <w:name w:val="header"/>
    <w:basedOn w:val="1"/>
    <w:uiPriority w:val="0"/>
    <w:pPr>
      <w:pBdr>
        <w:bottom w:val="single" w:color="auto" w:sz="6" w:space="1"/>
      </w:pBdr>
      <w:tabs>
        <w:tab w:val="center" w:pos="4153"/>
        <w:tab w:val="right" w:pos="8306"/>
      </w:tabs>
      <w:snapToGrid w:val="0"/>
      <w:jc w:val="center"/>
    </w:pPr>
    <w:rPr>
      <w:sz w:val="18"/>
      <w:szCs w:val="18"/>
    </w:rPr>
  </w:style>
  <w:style w:type="character" w:styleId="5">
    <w:name w:val="page number"/>
    <w:basedOn w:val="4"/>
    <w:uiPriority w:val="0"/>
  </w:style>
  <w:style w:type="character" w:customStyle="1" w:styleId="7">
    <w:name w:val="bd1"/>
    <w:basedOn w:val="4"/>
    <w:qFormat/>
    <w:uiPriority w:val="0"/>
    <w:rPr>
      <w:rFonts w:ascii="??" w:hAnsi="??" w:cs="Times New Roman"/>
      <w:color w:val="000000"/>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WWW.YlmF.CoM</Company>
  <Pages>1</Pages>
  <Words>273</Words>
  <Characters>1562</Characters>
  <Lines>13</Lines>
  <Paragraphs>3</Paragraphs>
  <TotalTime>0</TotalTime>
  <ScaleCrop>false</ScaleCrop>
  <LinksUpToDate>false</LinksUpToDate>
  <CharactersWithSpaces>1832</CharactersWithSpaces>
  <Application>WPS Office_10.8.0.5715_F1E327BC-269C-435d-A152-05C5408002CA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2017-11-06T15:18:00Z</dcterms:created>
  <dc:creator>user</dc:creator>
  <cp:lastModifiedBy>Byron</cp:lastModifiedBy>
  <cp:lastPrinted>2017-11-02T09:53:00Z</cp:lastPrinted>
  <dcterms:modified xsi:type="dcterms:W3CDTF">2017-11-16T02:01:56Z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