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820" w:rsidRDefault="00191820" w:rsidP="009E4CDE">
      <w:pPr>
        <w:adjustRightInd w:val="0"/>
        <w:snapToGrid w:val="0"/>
        <w:spacing w:line="560" w:lineRule="exact"/>
        <w:jc w:val="center"/>
        <w:rPr>
          <w:rFonts w:ascii="宋体" w:hAnsi="宋体" w:cs="宋体"/>
          <w:color w:val="000000" w:themeColor="text1"/>
          <w:sz w:val="44"/>
          <w:szCs w:val="44"/>
        </w:rPr>
      </w:pPr>
      <w:bookmarkStart w:id="0" w:name="_GoBack"/>
    </w:p>
    <w:p w:rsidR="00191820" w:rsidRDefault="00191820" w:rsidP="009E4CDE">
      <w:pPr>
        <w:adjustRightInd w:val="0"/>
        <w:snapToGrid w:val="0"/>
        <w:spacing w:line="560" w:lineRule="exact"/>
        <w:jc w:val="center"/>
        <w:rPr>
          <w:rFonts w:ascii="宋体" w:hAnsi="宋体" w:cs="宋体"/>
          <w:color w:val="000000" w:themeColor="text1"/>
          <w:sz w:val="44"/>
          <w:szCs w:val="44"/>
        </w:rPr>
      </w:pPr>
    </w:p>
    <w:p w:rsidR="00191820" w:rsidRDefault="004421DD" w:rsidP="009E4CDE">
      <w:pPr>
        <w:pStyle w:val="1"/>
        <w:shd w:val="clear" w:color="auto" w:fill="FFFFFF"/>
        <w:spacing w:before="150" w:beforeAutospacing="0" w:after="45" w:afterAutospacing="0" w:line="560" w:lineRule="exact"/>
        <w:jc w:val="center"/>
        <w:rPr>
          <w:b w:val="0"/>
          <w:bCs w:val="0"/>
          <w:color w:val="000000" w:themeColor="text1"/>
          <w:sz w:val="44"/>
          <w:szCs w:val="44"/>
        </w:rPr>
      </w:pPr>
      <w:r>
        <w:rPr>
          <w:rFonts w:hint="eastAsia"/>
          <w:b w:val="0"/>
          <w:bCs w:val="0"/>
          <w:color w:val="000000" w:themeColor="text1"/>
          <w:sz w:val="44"/>
          <w:szCs w:val="44"/>
        </w:rPr>
        <w:t>喀什经济开发区条例</w:t>
      </w:r>
    </w:p>
    <w:p w:rsidR="00191820" w:rsidRDefault="00191820" w:rsidP="009E4CDE">
      <w:pPr>
        <w:adjustRightInd w:val="0"/>
        <w:snapToGrid w:val="0"/>
        <w:spacing w:line="560" w:lineRule="exact"/>
        <w:ind w:rightChars="300" w:right="630"/>
        <w:rPr>
          <w:rFonts w:ascii="宋体" w:hAnsi="宋体" w:cs="宋体"/>
          <w:color w:val="000000" w:themeColor="text1"/>
          <w:sz w:val="44"/>
          <w:szCs w:val="44"/>
        </w:rPr>
      </w:pPr>
    </w:p>
    <w:p w:rsidR="009E4CDE" w:rsidRDefault="004421DD" w:rsidP="009E4CDE">
      <w:pPr>
        <w:adjustRightInd w:val="0"/>
        <w:snapToGrid w:val="0"/>
        <w:spacing w:line="560" w:lineRule="exact"/>
        <w:ind w:leftChars="337" w:left="708" w:rightChars="296" w:right="622"/>
        <w:rPr>
          <w:rFonts w:ascii="楷体_GB2312" w:eastAsia="楷体_GB2312" w:hAnsi="楷体_GB2312" w:cs="楷体_GB2312" w:hint="eastAsia"/>
          <w:color w:val="000000" w:themeColor="text1"/>
          <w:kern w:val="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（</w:t>
      </w:r>
      <w:r w:rsidR="00F803EB" w:rsidRPr="00611963">
        <w:rPr>
          <w:rFonts w:ascii="楷体_GB2312" w:eastAsia="楷体_GB2312" w:hAnsi="楷体_GB2312" w:cs="楷体_GB2312" w:hint="eastAsia"/>
          <w:color w:val="000000" w:themeColor="text1"/>
          <w:kern w:val="0"/>
          <w:sz w:val="32"/>
          <w:szCs w:val="32"/>
        </w:rPr>
        <w:t>2016年9月29日新疆维吾尔自治区第十二届人民</w:t>
      </w:r>
    </w:p>
    <w:p w:rsidR="00191820" w:rsidRPr="009E4CDE" w:rsidRDefault="00F803EB" w:rsidP="009E4CDE">
      <w:pPr>
        <w:adjustRightInd w:val="0"/>
        <w:snapToGrid w:val="0"/>
        <w:spacing w:line="560" w:lineRule="exact"/>
        <w:ind w:leftChars="337" w:left="708" w:rightChars="296" w:right="622"/>
        <w:rPr>
          <w:rFonts w:ascii="楷体_GB2312" w:eastAsia="楷体_GB2312" w:hAnsi="楷体_GB2312" w:cs="楷体_GB2312"/>
          <w:color w:val="000000" w:themeColor="text1"/>
          <w:kern w:val="0"/>
          <w:sz w:val="32"/>
          <w:szCs w:val="32"/>
        </w:rPr>
      </w:pPr>
      <w:r w:rsidRPr="00611963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代表大会常务委员会第二十四次会议通过</w:t>
      </w:r>
      <w:r w:rsidR="004421DD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）</w:t>
      </w:r>
    </w:p>
    <w:p w:rsidR="00191820" w:rsidRDefault="00191820" w:rsidP="009E4CDE">
      <w:pPr>
        <w:adjustRightInd w:val="0"/>
        <w:snapToGrid w:val="0"/>
        <w:spacing w:line="560" w:lineRule="exact"/>
        <w:ind w:leftChars="300" w:left="630" w:rightChars="300" w:right="630"/>
        <w:rPr>
          <w:rFonts w:ascii="楷体" w:eastAsia="黑体" w:hAnsi="楷体" w:cs="楷体"/>
          <w:color w:val="000000" w:themeColor="text1"/>
          <w:sz w:val="32"/>
          <w:szCs w:val="32"/>
        </w:rPr>
      </w:pPr>
    </w:p>
    <w:p w:rsidR="00191820" w:rsidRDefault="004421DD" w:rsidP="009E4CDE">
      <w:pPr>
        <w:adjustRightInd w:val="0"/>
        <w:snapToGrid w:val="0"/>
        <w:spacing w:line="560" w:lineRule="exact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第一章  总</w:t>
      </w:r>
      <w:r w:rsidR="009E4CDE">
        <w:rPr>
          <w:rFonts w:ascii="黑体" w:eastAsia="黑体" w:hAnsi="黑体" w:cs="黑体" w:hint="eastAsia"/>
          <w:color w:val="000000" w:themeColor="text1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则</w:t>
      </w:r>
    </w:p>
    <w:p w:rsidR="00191820" w:rsidRDefault="00191820" w:rsidP="009E4CDE">
      <w:pPr>
        <w:adjustRightInd w:val="0"/>
        <w:snapToGrid w:val="0"/>
        <w:spacing w:line="560" w:lineRule="exact"/>
        <w:ind w:firstLineChars="200" w:firstLine="640"/>
        <w:rPr>
          <w:rFonts w:ascii="仿宋" w:eastAsia="黑体" w:hAnsi="仿宋" w:cs="仿宋"/>
          <w:color w:val="000000" w:themeColor="text1"/>
          <w:sz w:val="32"/>
          <w:szCs w:val="32"/>
        </w:rPr>
      </w:pP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    第一条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为了落实丝绸之路经济带核心区战略要求，加快喀什经济开发区的建设和发展，推动对外开放新格局,发挥引领、示范和辐射作用，促进南疆经济发展、社会稳定和长治久安，根据国家有关法律、行政法规，结合本地实际，制定本条例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在喀什经济开发区(以下简称开发区)开展服务管理、开发建设、产业发展、投资促进及其相关活动，适用本条例。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第三条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本条例所称开发区是指经国务院批准的国家级经济开发区。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开发区分为喀什主体园区(含生产建设兵团分区)和伊尔克什坦口岸园区，其区域面积50平方公里，包括喀什市40平方公里(含生产建设兵团6平方公里)、伊尔克什坦口岸10平方公里。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黑体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开发区的规划、建设、发展和管理，坚持政策引导、市场运作，重点突破、分步实施，内引外联、产业驱动，生态优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lastRenderedPageBreak/>
        <w:t>先、统筹协调，创新机制、融合发展的原则，按照封闭式管理、开放式运营、自主式开发、一站式服务机制运行。</w:t>
      </w:r>
    </w:p>
    <w:bookmarkEnd w:id="0"/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0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2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开发区应当为企业和个人创造良好的投资、研究、开发、经营环境和创业就业条件，依法保护其合法权益。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0"/>
        <w:rPr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adjustRightInd w:val="0"/>
        <w:snapToGrid w:val="0"/>
        <w:spacing w:line="560" w:lineRule="exact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第二章  管理机构及职责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2"/>
        <w:rPr>
          <w:rStyle w:val="a6"/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仿宋_GB2312" w:eastAsia="黑体" w:hAnsi="仿宋_GB2312" w:cs="仿宋_GB2312" w:hint="eastAsia"/>
          <w:color w:val="000000" w:themeColor="text1"/>
          <w:kern w:val="2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自治区人民政府在开发区设立喀什经济开发区管理委员会(以下简称开发区管委会)，作为其派出机构，行使自治区级管理权，负责开发区的统一规划，并对开发区喀什主体园区进行直接管理。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开发区管委会可以向自治区人民政府及其相关部门直接行文，其职能部门负责自治区权限内的审批、核准、备案等事项，需要国家审批的事项由自治区相关部门按程序报批。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克孜勒苏柯尔克孜自治州人民政府根据授权，负责开发区伊尔克什坦口岸园区的建设与管理，享有与开发区管委会同等管理权。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开发区喀什主体园区兵团分区自行建设、自行管理，其管委会享有与开发区管委会同等管理权。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开发区伊尔克什坦口岸园区和喀什主体园区兵团分区，业务接受开发区管委会的指导，并按要求向其报送项目申报、基础经济数据统计等公文、表格、资料。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lastRenderedPageBreak/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开发区管委会履行下列职责：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(一)贯彻落实国家法律、法规和自治区地方性法规;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(二)行使国家、自治区赋予开发区的经济管理和审批权限实行制度创新、政策创新和管理体制创新;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(三)编制和组织实施开发区总体发展规划和各专项发展规划，并依法进行环境影响评价;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(四)负责招商引资工作，按规定权限审批、审定、申报各类投资项目;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(五)负责开发区规划建设，基础设施和公共设施建设管理工作;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(六)负责开发区财政预决算、国有资产管理、投融资工作;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(七)负责开发区的项目申报、基础经济数据统计;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(八)根据规定权限负责开发区各类进出口行政事务;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(九)承担与派驻地政府、部门及相关单位的沟通联系和协调职责，履行开发区相应社会管理和社会服务职能;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(十)负责定期组织召开开发区园区工作协调会，共同研究开发建设、产业发展、招商引资等涉及开发区整体发展事宜;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(十一)行使自治区人民政府委托的其他职权。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开发区管委会指导、协调有关部门在开发区的派出机构、分支机构的工作，并按照精简高效、机制灵活的原则，设立必要的职能机构，根据需要可以自主</w:t>
      </w:r>
      <w:hyperlink r:id="rId7" w:tgtFrame="_blank" w:history="1">
        <w:r>
          <w:rPr>
            <w:rStyle w:val="a7"/>
            <w:rFonts w:ascii="仿宋_GB2312" w:eastAsia="仿宋_GB2312" w:hAnsi="仿宋_GB2312" w:cs="仿宋_GB2312" w:hint="eastAsia"/>
            <w:color w:val="000000" w:themeColor="text1"/>
            <w:sz w:val="32"/>
            <w:szCs w:val="32"/>
          </w:rPr>
          <w:t>决定</w:t>
        </w:r>
      </w:hyperlink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人员聘用和薪酬标准。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lastRenderedPageBreak/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自治区发展和改革、经济和信息化、商务、国土资源、环境保护、工商行政、质监、地税、国税、海关、检验检疫、边防、金融监管、公安、道路运输、路政海事、消防等主管部门可以在开发区设立机构或派驻监管人员，办理业务，实施监督管理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开发区财政部门在业务上接受自治区财政主管部门的指导，其税收分成以及企业和个人税收减、免、退的认定按照国家和自治区的有关规定执行。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>第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十二条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开发区管委会规划土地建设环保主管部门根据委托，对开发区范围内违反土地、规划、房产、建设、环保等法律法规的行为，依法予以处罚。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黑体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设立喀什综合保税区，综合保税区管理委员会由开发区管委会管理，其业务接受海关的监督和指导，所属功能和有关税收、外汇政策按照国家有关规定执行。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0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第十四条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开发区可以开展创新机制的先行先试，探索建立试错免责机制。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0"/>
        <w:rPr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adjustRightInd w:val="0"/>
        <w:snapToGrid w:val="0"/>
        <w:spacing w:line="560" w:lineRule="exact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第三章  开发建设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2"/>
        <w:rPr>
          <w:rStyle w:val="a6"/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仿宋_GB2312" w:eastAsia="黑体" w:hAnsi="仿宋_GB2312" w:cs="仿宋_GB2312" w:hint="eastAsia"/>
          <w:color w:val="000000" w:themeColor="text1"/>
          <w:kern w:val="2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开发区管委会按照国家、自治区批准的规划和目标，组织实施开发建设工作。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lastRenderedPageBreak/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第十六条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开发区管委会应借助和发挥对口支援机制作用，吸引社会各方力量参与开发建设。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第十七条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开发区管委会应当发挥园区的优势和作用，根据园区建设需求，促进产业融合、区域融合，推进地下综合管廊建设，优先推广装配式建筑建设，支持建设数字化智能园区。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第十八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条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开发区设立开发建设投资经营公司以及其它投资开发主体，参与开发区开发建设和投资经营。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第十九条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开发区建设用地按照土地利用总体规划和年度用地计划执行。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开发区内的农用地转用、土地征收、国有土地使用权出让、不动产登记，依照法律、法规规定的权限办理。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第二十条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开发区区域内使用荒地、荒滩开发建设、引进产业项目的，按《喀什经济开发区总体发展规划》规定的期限，免交土地出让金和新增建设用地土地有偿使用费。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第二十一条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开发区可以在法律法规允许的范围内，创新土地利用管理方式。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(一)建立土地节约、集约利用的动态评估、监测机制;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(二)商业用地弹性出让、新产业项目用地符合划拨用地目录要求的，可以划拨供应;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(三)鼓励以租赁等多种方式向中小企业供应土地;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(四)推行土地先租后让、租让结合的供应方式;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lastRenderedPageBreak/>
        <w:t xml:space="preserve">　　(五)开发区内的商业、工业及重大功能性项目等用地，可实行带方案出让;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(六)建立企业土地使用退出机制。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对符合国家鼓励发展的新产业新业态政策要求的，优先安排新产业发展用地。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第二十二条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开发区应当建立严格的生态环境保护制度，严禁引进不符合国家和自治区生态环境保护规定的项目、设备、材料和产品。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进入开发区内的企业和项目，应当符合开发区规划环境影响评价要求，并依法进行建设项目环境影响评价。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0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开发区应当遵从循环经济减量化、再利用、再循环原则，减少废物排放，通过废物交接、循环利用、清洁生产等手段，实现污染物减排，达到生态标准。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0"/>
        <w:rPr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adjustRightInd w:val="0"/>
        <w:snapToGrid w:val="0"/>
        <w:spacing w:line="560" w:lineRule="exact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第四章  产业发展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2"/>
        <w:rPr>
          <w:rStyle w:val="a6"/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第二十三条 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开发区产业发展应当坚持创新引领、二三产联动、开放合作、绿色发展的原则，重点发展现代服务业和先进制造业。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第二十四条 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开发区根据实际发展需要，试行有利于促进对外开放和产业结构优化升级的创新业务。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lastRenderedPageBreak/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第二十五条 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鼓励发展商贸物流、金融服务、会议展览等现代服务业和互联网金融、电子商务等新兴业态。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第二十六条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开发区可以依托喀什临空经济区，发挥港区一体化作用，发展航空物流、临空高科技等临空产业，将区位优势转化为经济优势。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第二十七条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开发区应当建立完善投资主体多元化、融资渠道多样化、资本管理市场化、国际化的投融资机制。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开发区金融贸易区可以在离岸金融、金融市场利率市场化、人民币跨境使用、企业跨境融资自由化等方面先行先试，推进金融创新试点。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第二十八条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开发区创建国家级高新技术产业园区和中亚科技合作平台，推进高新技术成果转化和产业发展。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第二十九条 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开发区管委会，经自治区人民政府特殊授权，创新机制采取一事一议的方式，促进开发区与国内外园区联动发展。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0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本条前款所称一事一议，是指除本条例第八条由自治区人民政府明确授权的事项外，其他未经授权但属于开发区建设和产业发展的重大事项，开发区管委会可以与有关方面共同研究解决。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0"/>
        <w:rPr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adjustRightInd w:val="0"/>
        <w:snapToGrid w:val="0"/>
        <w:spacing w:line="560" w:lineRule="exact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第五章  投资促进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2"/>
        <w:rPr>
          <w:rStyle w:val="a6"/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sz w:val="32"/>
          <w:szCs w:val="32"/>
        </w:rPr>
        <w:lastRenderedPageBreak/>
        <w:t xml:space="preserve">　　</w:t>
      </w:r>
      <w:r>
        <w:rPr>
          <w:rFonts w:ascii="仿宋_GB2312" w:eastAsia="黑体" w:hAnsi="仿宋_GB2312" w:cs="仿宋_GB2312" w:hint="eastAsia"/>
          <w:color w:val="000000" w:themeColor="text1"/>
          <w:kern w:val="2"/>
          <w:sz w:val="32"/>
          <w:szCs w:val="32"/>
        </w:rPr>
        <w:t>第三十条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开发区内的资源、市场、产业实行开放，企业或个人可以采用合作、合资、独资等形式进行开发利用，但法律法规另有规定的除外。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第三十一条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开发区设立专项发展资金，用于产业扶持、人才服务、科研资助、创业扶持、基础设施和公共设施建设等支出。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第三十二条 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开发区符合条件的企业可以发行企业债券，并通过融资担保、科技信贷风险补偿、投贷保联动及设立政府引导产业基金等方式，拓宽开发区融资渠道。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第三十三条 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开发区应当鼓励和引导外资、社会资本参与开发区公共产品和公共服务项目的投资、运营管理，提高公共产品和公共服务供给能力。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第三十四条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开发区培育上市后备资源，支持企业上市、融资。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　第三十五条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在开发区内投资的企业或个人享受下列优惠待遇：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(一)注册在开发区的属于重点鼓励发展产业目录范围内的企业，按有关规定减免企业所得税;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(二)开发区内的企业可以从境外借入人民币资金，用于园区内生产经营、项目建设以及与非居民之间的跨境交易。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(三)国家和自治区给予企业的其他优惠待遇。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第三十六条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开发区通过国家科技型中小企业创新基金，建立科技企业孵化器，支持科技型中小企业发展。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lastRenderedPageBreak/>
        <w:t xml:space="preserve">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　第三十七条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开发区应当制定有关吸引人才、体制内外流动、创业就业等方面的鼓励扶持政策，吸引人才聚集，并享受国家和自治区的下列优惠待遇：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(一)对经认定的高层次创新创业人才，参照人才引进计划入选的政策，给予购房补贴、租房补贴，或以租代售等方式进行补助;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(二)对在开发区工作的高级人才给予科研经费等方面的扶持;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(三)对从事基础教育、医疗卫生、公共服务等相关人员，给予一定额度的开发区津贴。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第三十八条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开发区应当在企业的设立、经营许可、人才引进、产权登记等方面实行一站式服务。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　第三十九条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鼓励在开发区内设立金融服务、法律服务、资产评估、信用评级、投资咨询、知识产权交易、人才资源服务等中介服务机构，为开发区的生产经营和创新创业活动提供服务。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　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>第四十条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开发区鼓励企业依法建立行业协会、商会等自律性</w:t>
      </w: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组织，维护本行业的合法权益。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adjustRightInd w:val="0"/>
        <w:snapToGrid w:val="0"/>
        <w:spacing w:line="560" w:lineRule="exact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第六章  附</w:t>
      </w:r>
      <w:r w:rsidR="009E4CDE">
        <w:rPr>
          <w:rFonts w:ascii="黑体" w:eastAsia="黑体" w:hAnsi="黑体" w:cs="黑体" w:hint="eastAsia"/>
          <w:color w:val="000000" w:themeColor="text1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则</w:t>
      </w:r>
    </w:p>
    <w:p w:rsidR="00191820" w:rsidRDefault="00191820" w:rsidP="009E4CDE">
      <w:pPr>
        <w:pStyle w:val="a5"/>
        <w:shd w:val="clear" w:color="auto" w:fill="FFFFFF"/>
        <w:spacing w:before="0" w:beforeAutospacing="0" w:after="0" w:afterAutospacing="0" w:line="560" w:lineRule="exact"/>
        <w:ind w:firstLine="642"/>
        <w:rPr>
          <w:rStyle w:val="a6"/>
          <w:rFonts w:ascii="仿宋_GB2312" w:eastAsia="黑体" w:hAnsi="仿宋_GB2312" w:cs="仿宋_GB2312"/>
          <w:color w:val="000000" w:themeColor="text1"/>
          <w:sz w:val="32"/>
          <w:szCs w:val="32"/>
        </w:rPr>
      </w:pPr>
    </w:p>
    <w:p w:rsidR="00191820" w:rsidRDefault="004421DD" w:rsidP="009E4CDE">
      <w:pPr>
        <w:pStyle w:val="a5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sz w:val="32"/>
          <w:szCs w:val="32"/>
        </w:rPr>
        <w:t xml:space="preserve">　</w:t>
      </w:r>
      <w:r>
        <w:rPr>
          <w:rFonts w:ascii="黑体" w:eastAsia="黑体" w:hAnsi="黑体" w:cs="黑体" w:hint="eastAsia"/>
          <w:color w:val="000000" w:themeColor="text1"/>
          <w:kern w:val="2"/>
          <w:sz w:val="32"/>
          <w:szCs w:val="32"/>
        </w:rPr>
        <w:t xml:space="preserve">　第四十一条</w:t>
      </w:r>
      <w:r>
        <w:rPr>
          <w:rFonts w:ascii="仿宋_GB2312" w:eastAsia="仿宋_GB2312" w:hAnsi="仿宋_GB2312" w:cs="仿宋_GB2312" w:hint="eastAsia"/>
          <w:color w:val="000000" w:themeColor="text1"/>
          <w:kern w:val="2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本条例自2016年11月1日起施行。</w:t>
      </w:r>
    </w:p>
    <w:sectPr w:rsidR="00191820" w:rsidSect="009E4CDE">
      <w:footerReference w:type="even" r:id="rId8"/>
      <w:footerReference w:type="default" r:id="rId9"/>
      <w:pgSz w:w="11906" w:h="16838"/>
      <w:pgMar w:top="2098" w:right="1531" w:bottom="2098" w:left="1531" w:header="850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698" w:rsidRDefault="00FA4698" w:rsidP="00191820">
      <w:r>
        <w:separator/>
      </w:r>
    </w:p>
  </w:endnote>
  <w:endnote w:type="continuationSeparator" w:id="0">
    <w:p w:rsidR="00FA4698" w:rsidRDefault="00FA4698" w:rsidP="00191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20" w:rsidRDefault="00575604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08pt;margin-top:0;width:2in;height:2in;z-index:251659264;mso-wrap-style:none;mso-position-horizontal:outside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 filled="f" stroked="f">
          <v:textbox style="mso-fit-shape-to-text:t" inset="0,0,0,0">
            <w:txbxContent>
              <w:p w:rsidR="00191820" w:rsidRDefault="004421DD">
                <w:pPr>
                  <w:adjustRightInd w:val="0"/>
                  <w:snapToGrid w:val="0"/>
                  <w:spacing w:line="240" w:lineRule="atLeast"/>
                  <w:ind w:leftChars="200" w:lef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— </w:t>
                </w:r>
                <w:r w:rsidR="00575604"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 w:rsidR="00575604"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9E4CDE">
                  <w:rPr>
                    <w:rFonts w:ascii="宋体" w:hAnsi="宋体" w:cs="宋体"/>
                    <w:noProof/>
                    <w:sz w:val="28"/>
                    <w:szCs w:val="28"/>
                  </w:rPr>
                  <w:t>2</w:t>
                </w:r>
                <w:r w:rsidR="00575604"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20" w:rsidRDefault="00575604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8pt;margin-top:0;width:2in;height:2in;z-index:251658240;mso-wrap-style:none;mso-position-horizontal:outside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 filled="f" stroked="f">
          <v:textbox style="mso-fit-shape-to-text:t" inset="0,0,0,0">
            <w:txbxContent>
              <w:p w:rsidR="00191820" w:rsidRDefault="004421DD">
                <w:pPr>
                  <w:adjustRightInd w:val="0"/>
                  <w:snapToGrid w:val="0"/>
                  <w:spacing w:line="240" w:lineRule="atLeast"/>
                  <w:ind w:rightChars="200" w:right="420"/>
                  <w:rPr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— </w:t>
                </w:r>
                <w:r w:rsidR="00575604"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 w:rsidR="00575604"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9E4CDE">
                  <w:rPr>
                    <w:rFonts w:ascii="宋体" w:hAnsi="宋体" w:cs="宋体"/>
                    <w:noProof/>
                    <w:sz w:val="28"/>
                    <w:szCs w:val="28"/>
                  </w:rPr>
                  <w:t>9</w:t>
                </w:r>
                <w:r w:rsidR="00575604"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698" w:rsidRDefault="00FA4698" w:rsidP="00191820">
      <w:r>
        <w:separator/>
      </w:r>
    </w:p>
  </w:footnote>
  <w:footnote w:type="continuationSeparator" w:id="0">
    <w:p w:rsidR="00FA4698" w:rsidRDefault="00FA4698" w:rsidP="001918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E7A4CE8"/>
    <w:rsid w:val="00191820"/>
    <w:rsid w:val="004421DD"/>
    <w:rsid w:val="00575604"/>
    <w:rsid w:val="009E4CDE"/>
    <w:rsid w:val="00F803EB"/>
    <w:rsid w:val="00FA4698"/>
    <w:rsid w:val="05097AD0"/>
    <w:rsid w:val="10B63C0C"/>
    <w:rsid w:val="166E52DE"/>
    <w:rsid w:val="280A3758"/>
    <w:rsid w:val="31DD71E5"/>
    <w:rsid w:val="44611165"/>
    <w:rsid w:val="50A13A06"/>
    <w:rsid w:val="5E7A4CE8"/>
    <w:rsid w:val="688B2412"/>
    <w:rsid w:val="6F6010DB"/>
    <w:rsid w:val="7A8C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182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9182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9182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9182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1918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sid w:val="00191820"/>
    <w:rPr>
      <w:b/>
      <w:bCs/>
    </w:rPr>
  </w:style>
  <w:style w:type="character" w:styleId="a7">
    <w:name w:val="Hyperlink"/>
    <w:basedOn w:val="a0"/>
    <w:qFormat/>
    <w:rsid w:val="001918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ngwen.cnrencai.com/jued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861;&#35268;&#25991;&#26412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</Template>
  <TotalTime>1</TotalTime>
  <Pages>9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</cp:lastModifiedBy>
  <cp:revision>3</cp:revision>
  <cp:lastPrinted>2017-03-30T11:03:00Z</cp:lastPrinted>
  <dcterms:created xsi:type="dcterms:W3CDTF">2017-03-14T10:01:00Z</dcterms:created>
  <dcterms:modified xsi:type="dcterms:W3CDTF">2019-08-23T08:28:00Z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