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0"/>
        </w:numPr>
        <w:jc w:val="center"/>
        <w:rPr>
          <w:rFonts w:hint="eastAsia" w:ascii="宋体" w:hAnsi="宋体" w:eastAsia="宋体" w:cs="宋体"/>
          <w:sz w:val="32"/>
          <w:szCs w:val="32"/>
          <w:lang w:val="en-US" w:eastAsia="zh-CN"/>
        </w:rPr>
      </w:pPr>
    </w:p>
    <w:p>
      <w:pPr>
        <w:numPr>
          <w:ilvl w:val="0"/>
          <w:numId w:val="0"/>
        </w:numPr>
        <w:jc w:val="center"/>
        <w:rPr>
          <w:rFonts w:hint="eastAsia" w:ascii="宋体" w:hAnsi="宋体" w:eastAsia="宋体" w:cs="宋体"/>
          <w:sz w:val="32"/>
          <w:szCs w:val="32"/>
          <w:lang w:val="en-US" w:eastAsia="zh-CN"/>
        </w:rPr>
      </w:pPr>
    </w:p>
    <w:p>
      <w:pPr>
        <w:numPr>
          <w:ilvl w:val="0"/>
          <w:numId w:val="0"/>
        </w:num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四川省人民代表大会常务委员会</w:t>
      </w:r>
    </w:p>
    <w:p>
      <w:pPr>
        <w:numPr>
          <w:ilvl w:val="0"/>
          <w:numId w:val="0"/>
        </w:num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关于加强农村村民住宅抗震设防管理</w:t>
      </w:r>
    </w:p>
    <w:p>
      <w:pPr>
        <w:numPr>
          <w:ilvl w:val="0"/>
          <w:numId w:val="0"/>
        </w:num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的决定</w:t>
      </w:r>
    </w:p>
    <w:p>
      <w:pPr>
        <w:numPr>
          <w:ilvl w:val="0"/>
          <w:numId w:val="0"/>
        </w:numPr>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left"/>
        <w:textAlignment w:val="auto"/>
        <w:outlineLvl w:val="9"/>
        <w:rPr>
          <w:rFonts w:hint="eastAsia" w:ascii="楷体_GB2312" w:hAnsi="宋体" w:eastAsia="楷体_GB2312"/>
          <w:sz w:val="32"/>
          <w:szCs w:val="32"/>
          <w:lang w:val="en-US" w:eastAsia="zh-CN"/>
        </w:rPr>
      </w:pPr>
      <w:r>
        <w:rPr>
          <w:rFonts w:hint="eastAsia" w:ascii="楷体_GB2312" w:hAnsi="宋体" w:eastAsia="楷体_GB2312"/>
          <w:sz w:val="32"/>
          <w:szCs w:val="32"/>
          <w:lang w:val="en-US" w:eastAsia="zh-CN"/>
        </w:rPr>
        <w:t>（2010年7月24日四川省第十一届人民代表大会常务委员会第十七次会议通过）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left"/>
        <w:textAlignment w:val="auto"/>
        <w:outlineLvl w:val="9"/>
        <w:rPr>
          <w:rFonts w:hint="eastAsia" w:ascii="宋体" w:hAnsi="宋体" w:eastAsia="宋体" w:cs="宋体"/>
          <w:sz w:val="32"/>
          <w:szCs w:val="32"/>
          <w:lang w:val="en-US" w:eastAsia="zh-CN"/>
        </w:rPr>
      </w:pPr>
    </w:p>
    <w:p>
      <w:pPr>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为了加强对农村村民住宅抗震设防的管理，保护人民生命和财产安全，根据《中华人民共和国防震减灾法》等法律法规，结合四川省实际，特作如下决定：</w:t>
      </w:r>
    </w:p>
    <w:p>
      <w:pPr>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一、县级以上地方人民政府应当加强对农村村民住宅抗震设防工作的领导，组织住房和城乡建设、防震减灾、国土资源等有关部门，按照各自职责做好本行政区域内农村村民住宅抗震设防管理工作。</w:t>
      </w:r>
    </w:p>
    <w:p>
      <w:pPr>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二、县级人民政府审批乡、村规划、农村村民集中居住区规划、宅基地，应当符合选址科学、抗震设防、防灾减灾的要求。</w:t>
      </w:r>
    </w:p>
    <w:p>
      <w:pPr>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三、县级以上地方人民政府应当组织开展农村实用抗震技术的研究和开发，提供和推广安全可靠、经济适用、具有当地特色或民族风貌的建筑设计和施工技术。</w:t>
      </w:r>
    </w:p>
    <w:p>
      <w:pPr>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四、县级以上地方人民政府住房和城乡建设、防震减灾等有关部门，应当按照抗震设防要求，加强对农村村民住宅建设、规划、设计、施工人员的培训。</w:t>
      </w:r>
    </w:p>
    <w:p>
      <w:pPr>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五、县级以上地方人民政府应当安排专项资金，并制定相应政策，支持、鼓励农村村民对住宅采取抗震设防措施。</w:t>
      </w:r>
    </w:p>
    <w:p>
      <w:pPr>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六、乡、镇人民政府应当按照抗震设防要求，对农村村民住宅建设进行指导、监督。</w:t>
      </w:r>
    </w:p>
    <w:p>
      <w:pPr>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本决定自公布之日起施行。</w:t>
      </w:r>
      <w:bookmarkStart w:id="0" w:name="_GoBack"/>
      <w:bookmarkEnd w:id="0"/>
    </w:p>
    <w:p>
      <w:pPr>
        <w:rPr>
          <w:rFonts w:hint="eastAsia" w:ascii="仿宋_GB2312" w:eastAsia="仿宋_GB2312"/>
          <w:sz w:val="32"/>
          <w:szCs w:val="32"/>
          <w:lang w:val="en-US" w:eastAsia="zh-CN"/>
        </w:rPr>
      </w:pPr>
    </w:p>
    <w:p>
      <w:pPr>
        <w:rPr>
          <w:rFonts w:hint="eastAsia" w:ascii="仿宋_GB2312" w:eastAsia="仿宋_GB2312"/>
          <w:sz w:val="32"/>
          <w:szCs w:val="32"/>
          <w:lang w:val="en-US" w:eastAsia="zh-CN"/>
        </w:rPr>
      </w:pPr>
    </w:p>
    <w:sectPr>
      <w:footerReference r:id="rId3" w:type="default"/>
      <w:footerReference r:id="rId4" w:type="even"/>
      <w:pgSz w:w="11906" w:h="16838"/>
      <w:pgMar w:top="2098" w:right="1588" w:bottom="2098" w:left="1588" w:header="851" w:footer="397" w:gutter="0"/>
      <w:cols w:space="0" w:num="1"/>
      <w:rtlGutter w:val="0"/>
      <w:docGrid w:type="linesAndChars" w:linePitch="316"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1DB77B8"/>
    <w:rsid w:val="05302845"/>
    <w:rsid w:val="058567CA"/>
    <w:rsid w:val="09A56188"/>
    <w:rsid w:val="0AC93F59"/>
    <w:rsid w:val="17031790"/>
    <w:rsid w:val="195630ED"/>
    <w:rsid w:val="2A372D0F"/>
    <w:rsid w:val="2AFF230D"/>
    <w:rsid w:val="2F6C3C0D"/>
    <w:rsid w:val="2FF70AF9"/>
    <w:rsid w:val="30123A2C"/>
    <w:rsid w:val="33AA3568"/>
    <w:rsid w:val="42EF1411"/>
    <w:rsid w:val="475F2A4A"/>
    <w:rsid w:val="4CE26855"/>
    <w:rsid w:val="4DEA368F"/>
    <w:rsid w:val="5422390A"/>
    <w:rsid w:val="57C34C0A"/>
    <w:rsid w:val="5B365574"/>
    <w:rsid w:val="63BE3388"/>
    <w:rsid w:val="702F5C5E"/>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2017-02-27T06:57:53Z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