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9F9" w:rsidRDefault="001069F9" w:rsidP="00F82405">
      <w:pPr>
        <w:adjustRightInd w:val="0"/>
        <w:snapToGrid w:val="0"/>
        <w:spacing w:line="576" w:lineRule="exact"/>
        <w:jc w:val="center"/>
        <w:rPr>
          <w:rFonts w:asciiTheme="majorEastAsia" w:eastAsiaTheme="majorEastAsia" w:hAnsiTheme="majorEastAsia" w:cstheme="majorEastAsia"/>
          <w:b/>
          <w:smallCaps/>
          <w:color w:val="000000"/>
          <w:kern w:val="0"/>
          <w:sz w:val="32"/>
          <w:szCs w:val="32"/>
        </w:rPr>
      </w:pPr>
    </w:p>
    <w:p w:rsidR="001069F9" w:rsidRDefault="001069F9" w:rsidP="00F82405">
      <w:pPr>
        <w:adjustRightInd w:val="0"/>
        <w:snapToGrid w:val="0"/>
        <w:spacing w:line="576" w:lineRule="exact"/>
        <w:jc w:val="center"/>
        <w:rPr>
          <w:rFonts w:asciiTheme="majorEastAsia" w:eastAsiaTheme="majorEastAsia" w:hAnsiTheme="majorEastAsia" w:cstheme="majorEastAsia"/>
          <w:b/>
          <w:smallCaps/>
          <w:color w:val="000000"/>
          <w:kern w:val="0"/>
          <w:sz w:val="32"/>
          <w:szCs w:val="32"/>
        </w:rPr>
      </w:pPr>
    </w:p>
    <w:p w:rsidR="001069F9" w:rsidRDefault="00F82405" w:rsidP="00F82405">
      <w:pPr>
        <w:adjustRightInd w:val="0"/>
        <w:snapToGrid w:val="0"/>
        <w:spacing w:line="576" w:lineRule="exact"/>
        <w:jc w:val="center"/>
        <w:rPr>
          <w:rFonts w:asciiTheme="majorEastAsia" w:eastAsiaTheme="majorEastAsia" w:hAnsiTheme="majorEastAsia" w:cstheme="majorEastAsia"/>
          <w:bCs/>
          <w:smallCaps/>
          <w:color w:val="000000"/>
          <w:kern w:val="0"/>
          <w:sz w:val="44"/>
          <w:szCs w:val="44"/>
        </w:rPr>
      </w:pPr>
      <w:r>
        <w:rPr>
          <w:rFonts w:asciiTheme="majorEastAsia" w:eastAsiaTheme="majorEastAsia" w:hAnsiTheme="majorEastAsia" w:cstheme="majorEastAsia" w:hint="eastAsia"/>
          <w:bCs/>
          <w:smallCaps/>
          <w:color w:val="000000"/>
          <w:kern w:val="0"/>
          <w:sz w:val="44"/>
          <w:szCs w:val="44"/>
        </w:rPr>
        <w:t>四川省公民</w:t>
      </w:r>
      <w:proofErr w:type="gramStart"/>
      <w:r>
        <w:rPr>
          <w:rFonts w:asciiTheme="majorEastAsia" w:eastAsiaTheme="majorEastAsia" w:hAnsiTheme="majorEastAsia" w:cstheme="majorEastAsia" w:hint="eastAsia"/>
          <w:bCs/>
          <w:smallCaps/>
          <w:color w:val="000000"/>
          <w:kern w:val="0"/>
          <w:sz w:val="44"/>
          <w:szCs w:val="44"/>
        </w:rPr>
        <w:t>旁听省</w:t>
      </w:r>
      <w:proofErr w:type="gramEnd"/>
      <w:r>
        <w:rPr>
          <w:rFonts w:asciiTheme="majorEastAsia" w:eastAsiaTheme="majorEastAsia" w:hAnsiTheme="majorEastAsia" w:cstheme="majorEastAsia" w:hint="eastAsia"/>
          <w:bCs/>
          <w:smallCaps/>
          <w:color w:val="000000"/>
          <w:kern w:val="0"/>
          <w:sz w:val="44"/>
          <w:szCs w:val="44"/>
        </w:rPr>
        <w:t>人民代表大会</w:t>
      </w:r>
    </w:p>
    <w:p w:rsidR="001069F9" w:rsidRDefault="00F82405" w:rsidP="00F82405">
      <w:pPr>
        <w:adjustRightInd w:val="0"/>
        <w:snapToGrid w:val="0"/>
        <w:spacing w:line="576" w:lineRule="exact"/>
        <w:jc w:val="center"/>
        <w:rPr>
          <w:rFonts w:asciiTheme="majorEastAsia" w:eastAsiaTheme="majorEastAsia" w:hAnsiTheme="majorEastAsia" w:cstheme="majorEastAsia"/>
          <w:bCs/>
          <w:smallCaps/>
          <w:color w:val="000000"/>
          <w:kern w:val="0"/>
          <w:sz w:val="44"/>
          <w:szCs w:val="44"/>
        </w:rPr>
      </w:pPr>
      <w:r>
        <w:rPr>
          <w:rFonts w:asciiTheme="majorEastAsia" w:eastAsiaTheme="majorEastAsia" w:hAnsiTheme="majorEastAsia" w:cstheme="majorEastAsia" w:hint="eastAsia"/>
          <w:bCs/>
          <w:smallCaps/>
          <w:color w:val="000000"/>
          <w:kern w:val="0"/>
          <w:sz w:val="44"/>
          <w:szCs w:val="44"/>
        </w:rPr>
        <w:t>及其常务委员会会议规定</w:t>
      </w:r>
    </w:p>
    <w:p w:rsidR="001069F9" w:rsidRDefault="001069F9" w:rsidP="00F82405">
      <w:pPr>
        <w:adjustRightInd w:val="0"/>
        <w:snapToGrid w:val="0"/>
        <w:spacing w:line="576" w:lineRule="exact"/>
        <w:jc w:val="center"/>
        <w:rPr>
          <w:rFonts w:asciiTheme="majorEastAsia" w:eastAsiaTheme="majorEastAsia" w:hAnsiTheme="majorEastAsia" w:cstheme="majorEastAsia"/>
          <w:bCs/>
          <w:smallCaps/>
          <w:color w:val="000000"/>
          <w:kern w:val="0"/>
          <w:sz w:val="32"/>
          <w:szCs w:val="32"/>
        </w:rPr>
      </w:pPr>
    </w:p>
    <w:p w:rsidR="001069F9" w:rsidRDefault="00F82405" w:rsidP="00F82405">
      <w:pPr>
        <w:shd w:val="clear" w:color="auto" w:fill="FFFFFF"/>
        <w:tabs>
          <w:tab w:val="center" w:pos="4156"/>
          <w:tab w:val="right" w:pos="8312"/>
        </w:tabs>
        <w:adjustRightInd w:val="0"/>
        <w:snapToGrid w:val="0"/>
        <w:spacing w:line="576"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日四川省第十三届人民代表大会常务委员会第十四次会议通过）</w:t>
      </w:r>
    </w:p>
    <w:p w:rsidR="001069F9" w:rsidRDefault="001069F9" w:rsidP="00F82405">
      <w:pPr>
        <w:adjustRightInd w:val="0"/>
        <w:snapToGrid w:val="0"/>
        <w:spacing w:line="576" w:lineRule="exact"/>
        <w:ind w:firstLineChars="196" w:firstLine="630"/>
        <w:rPr>
          <w:rFonts w:asciiTheme="majorEastAsia" w:eastAsiaTheme="majorEastAsia" w:hAnsiTheme="majorEastAsia" w:cstheme="majorEastAsia"/>
          <w:b/>
          <w:sz w:val="32"/>
          <w:szCs w:val="32"/>
        </w:rPr>
      </w:pPr>
    </w:p>
    <w:p w:rsidR="001069F9" w:rsidRDefault="00F82405" w:rsidP="00F82405">
      <w:pPr>
        <w:adjustRightInd w:val="0"/>
        <w:snapToGrid w:val="0"/>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第一条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为了加强</w:t>
      </w:r>
      <w:bookmarkStart w:id="0" w:name="_GoBack"/>
      <w:bookmarkEnd w:id="0"/>
      <w:r>
        <w:rPr>
          <w:rFonts w:ascii="仿宋_GB2312" w:eastAsia="仿宋_GB2312" w:hAnsi="仿宋_GB2312" w:cs="仿宋_GB2312" w:hint="eastAsia"/>
          <w:bCs/>
          <w:sz w:val="32"/>
          <w:szCs w:val="32"/>
        </w:rPr>
        <w:t>人民对省人民代表大会及其常务委员会依法行使职权的监督，进一步扩大公民有序政治参与，根据有关法律规定，结合四川省实际，制定本规定。</w:t>
      </w:r>
      <w:bookmarkStart w:id="1" w:name="2"/>
    </w:p>
    <w:p w:rsidR="001069F9" w:rsidRDefault="00F82405" w:rsidP="00F82405">
      <w:pPr>
        <w:adjustRightInd w:val="0"/>
        <w:snapToGrid w:val="0"/>
        <w:spacing w:line="576" w:lineRule="exact"/>
        <w:ind w:firstLineChars="200" w:firstLine="640"/>
        <w:rPr>
          <w:rFonts w:ascii="仿宋_GB2312" w:eastAsia="仿宋_GB2312" w:hAnsi="仿宋_GB2312" w:cs="仿宋_GB2312"/>
          <w:bCs/>
          <w:color w:val="FF0000"/>
          <w:sz w:val="32"/>
          <w:szCs w:val="32"/>
        </w:rPr>
      </w:pPr>
      <w:r>
        <w:rPr>
          <w:rFonts w:ascii="黑体" w:eastAsia="黑体" w:hAnsi="黑体" w:cs="黑体" w:hint="eastAsia"/>
          <w:bCs/>
          <w:sz w:val="32"/>
          <w:szCs w:val="32"/>
        </w:rPr>
        <w:t>第二条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年满十八周岁的中华人民共和国公民，可以依法申请</w:t>
      </w:r>
      <w:proofErr w:type="gramStart"/>
      <w:r>
        <w:rPr>
          <w:rFonts w:ascii="仿宋_GB2312" w:eastAsia="仿宋_GB2312" w:hAnsi="仿宋_GB2312" w:cs="仿宋_GB2312" w:hint="eastAsia"/>
          <w:bCs/>
          <w:sz w:val="32"/>
          <w:szCs w:val="32"/>
        </w:rPr>
        <w:t>旁听省</w:t>
      </w:r>
      <w:proofErr w:type="gramEnd"/>
      <w:r>
        <w:rPr>
          <w:rFonts w:ascii="仿宋_GB2312" w:eastAsia="仿宋_GB2312" w:hAnsi="仿宋_GB2312" w:cs="仿宋_GB2312" w:hint="eastAsia"/>
          <w:bCs/>
          <w:sz w:val="32"/>
          <w:szCs w:val="32"/>
        </w:rPr>
        <w:t>人民代表大会会议和省人民代表大会常务委员会会议，但是依法被限制人身自由或者被剥夺政治权利的除外。</w:t>
      </w:r>
    </w:p>
    <w:p w:rsidR="001069F9" w:rsidRDefault="00F82405" w:rsidP="00F82405">
      <w:pPr>
        <w:adjustRightInd w:val="0"/>
        <w:snapToGrid w:val="0"/>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第三条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省人民代表大会常务委员会办公厅负责公民旁听的组织工作；在会议举行</w:t>
      </w:r>
      <w:r>
        <w:rPr>
          <w:rFonts w:ascii="仿宋_GB2312" w:eastAsia="仿宋_GB2312" w:hAnsi="仿宋_GB2312" w:cs="仿宋_GB2312" w:hint="eastAsia"/>
          <w:bCs/>
          <w:sz w:val="32"/>
          <w:szCs w:val="32"/>
        </w:rPr>
        <w:t>15</w:t>
      </w:r>
      <w:r>
        <w:rPr>
          <w:rFonts w:ascii="仿宋_GB2312" w:eastAsia="仿宋_GB2312" w:hAnsi="仿宋_GB2312" w:cs="仿宋_GB2312" w:hint="eastAsia"/>
          <w:bCs/>
          <w:sz w:val="32"/>
          <w:szCs w:val="32"/>
        </w:rPr>
        <w:t>日前，向社会公告会议时间、地点、主要议题以及公民旁听报名程序、要求等有关事项。</w:t>
      </w:r>
    </w:p>
    <w:p w:rsidR="001069F9" w:rsidRDefault="00F82405" w:rsidP="00F82405">
      <w:pPr>
        <w:adjustRightInd w:val="0"/>
        <w:snapToGrid w:val="0"/>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临时召集的会议，不受前款规定的时间限制。</w:t>
      </w:r>
    </w:p>
    <w:bookmarkEnd w:id="1"/>
    <w:p w:rsidR="001069F9" w:rsidRDefault="00F82405" w:rsidP="00F82405">
      <w:pPr>
        <w:adjustRightInd w:val="0"/>
        <w:snapToGrid w:val="0"/>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第四条</w:t>
      </w:r>
      <w:r>
        <w:rPr>
          <w:rFonts w:ascii="仿宋_GB2312" w:eastAsia="仿宋_GB2312" w:hAnsi="仿宋_GB2312" w:cs="仿宋_GB2312" w:hint="eastAsia"/>
          <w:bCs/>
          <w:sz w:val="32"/>
          <w:szCs w:val="32"/>
        </w:rPr>
        <w:t xml:space="preserve">  </w:t>
      </w:r>
      <w:proofErr w:type="gramStart"/>
      <w:r>
        <w:rPr>
          <w:rFonts w:ascii="仿宋_GB2312" w:eastAsia="仿宋_GB2312" w:hAnsi="仿宋_GB2312" w:cs="仿宋_GB2312" w:hint="eastAsia"/>
          <w:bCs/>
          <w:sz w:val="32"/>
          <w:szCs w:val="32"/>
        </w:rPr>
        <w:t>每次省</w:t>
      </w:r>
      <w:proofErr w:type="gramEnd"/>
      <w:r>
        <w:rPr>
          <w:rFonts w:ascii="仿宋_GB2312" w:eastAsia="仿宋_GB2312" w:hAnsi="仿宋_GB2312" w:cs="仿宋_GB2312" w:hint="eastAsia"/>
          <w:bCs/>
          <w:sz w:val="32"/>
          <w:szCs w:val="32"/>
        </w:rPr>
        <w:t>人民代表大会会议旁听公民人数一般不超过</w:t>
      </w:r>
      <w:r>
        <w:rPr>
          <w:rFonts w:ascii="仿宋_GB2312" w:eastAsia="仿宋_GB2312" w:hAnsi="仿宋_GB2312" w:cs="仿宋_GB2312" w:hint="eastAsia"/>
          <w:bCs/>
          <w:sz w:val="32"/>
          <w:szCs w:val="32"/>
        </w:rPr>
        <w:t>15</w:t>
      </w:r>
      <w:r>
        <w:rPr>
          <w:rFonts w:ascii="仿宋_GB2312" w:eastAsia="仿宋_GB2312" w:hAnsi="仿宋_GB2312" w:cs="仿宋_GB2312" w:hint="eastAsia"/>
          <w:bCs/>
          <w:sz w:val="32"/>
          <w:szCs w:val="32"/>
        </w:rPr>
        <w:t>名；</w:t>
      </w:r>
      <w:proofErr w:type="gramStart"/>
      <w:r>
        <w:rPr>
          <w:rFonts w:ascii="仿宋_GB2312" w:eastAsia="仿宋_GB2312" w:hAnsi="仿宋_GB2312" w:cs="仿宋_GB2312" w:hint="eastAsia"/>
          <w:bCs/>
          <w:sz w:val="32"/>
          <w:szCs w:val="32"/>
        </w:rPr>
        <w:t>每次</w:t>
      </w:r>
      <w:bookmarkStart w:id="2" w:name="3"/>
      <w:r>
        <w:rPr>
          <w:rFonts w:ascii="仿宋_GB2312" w:eastAsia="仿宋_GB2312" w:hAnsi="仿宋_GB2312" w:cs="仿宋_GB2312" w:hint="eastAsia"/>
          <w:bCs/>
          <w:sz w:val="32"/>
          <w:szCs w:val="32"/>
        </w:rPr>
        <w:t>省</w:t>
      </w:r>
      <w:proofErr w:type="gramEnd"/>
      <w:r>
        <w:rPr>
          <w:rFonts w:ascii="仿宋_GB2312" w:eastAsia="仿宋_GB2312" w:hAnsi="仿宋_GB2312" w:cs="仿宋_GB2312" w:hint="eastAsia"/>
          <w:bCs/>
          <w:sz w:val="32"/>
          <w:szCs w:val="32"/>
        </w:rPr>
        <w:t>人民代表大会常务委员会会议旁听公民人数一般不超过</w:t>
      </w:r>
      <w:r>
        <w:rPr>
          <w:rFonts w:ascii="仿宋_GB2312" w:eastAsia="仿宋_GB2312" w:hAnsi="仿宋_GB2312" w:cs="仿宋_GB2312" w:hint="eastAsia"/>
          <w:bCs/>
          <w:sz w:val="32"/>
          <w:szCs w:val="32"/>
        </w:rPr>
        <w:t>10</w:t>
      </w:r>
      <w:r>
        <w:rPr>
          <w:rFonts w:ascii="仿宋_GB2312" w:eastAsia="仿宋_GB2312" w:hAnsi="仿宋_GB2312" w:cs="仿宋_GB2312" w:hint="eastAsia"/>
          <w:bCs/>
          <w:sz w:val="32"/>
          <w:szCs w:val="32"/>
        </w:rPr>
        <w:t>名。</w:t>
      </w:r>
    </w:p>
    <w:p w:rsidR="001069F9" w:rsidRDefault="00F82405" w:rsidP="00F82405">
      <w:pPr>
        <w:adjustRightInd w:val="0"/>
        <w:snapToGrid w:val="0"/>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第五条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公民申请旁听会议，可以通过现场报名、网络或</w:t>
      </w:r>
      <w:r>
        <w:rPr>
          <w:rFonts w:ascii="仿宋_GB2312" w:eastAsia="仿宋_GB2312" w:hAnsi="仿宋_GB2312" w:cs="仿宋_GB2312" w:hint="eastAsia"/>
          <w:bCs/>
          <w:sz w:val="32"/>
          <w:szCs w:val="32"/>
        </w:rPr>
        <w:lastRenderedPageBreak/>
        <w:t>者电话传真等方式，在公告的报名时间内，并按照公告要求提供相关材料后进行报名。</w:t>
      </w:r>
    </w:p>
    <w:p w:rsidR="001069F9" w:rsidRDefault="00F82405" w:rsidP="00F82405">
      <w:pPr>
        <w:adjustRightInd w:val="0"/>
        <w:snapToGrid w:val="0"/>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省人民代表大会常务委员会办公厅一般在会议举行</w:t>
      </w:r>
      <w:r>
        <w:rPr>
          <w:rFonts w:ascii="仿宋_GB2312" w:eastAsia="仿宋_GB2312" w:hAnsi="仿宋_GB2312" w:cs="仿宋_GB2312" w:hint="eastAsia"/>
          <w:bCs/>
          <w:sz w:val="32"/>
          <w:szCs w:val="32"/>
        </w:rPr>
        <w:t>5</w:t>
      </w:r>
      <w:r>
        <w:rPr>
          <w:rFonts w:ascii="仿宋_GB2312" w:eastAsia="仿宋_GB2312" w:hAnsi="仿宋_GB2312" w:cs="仿宋_GB2312" w:hint="eastAsia"/>
          <w:bCs/>
          <w:sz w:val="32"/>
          <w:szCs w:val="32"/>
        </w:rPr>
        <w:t>日前，确定旁听公</w:t>
      </w:r>
      <w:r>
        <w:rPr>
          <w:rFonts w:ascii="仿宋_GB2312" w:eastAsia="仿宋_GB2312" w:hAnsi="仿宋_GB2312" w:cs="仿宋_GB2312" w:hint="eastAsia"/>
          <w:bCs/>
          <w:sz w:val="32"/>
          <w:szCs w:val="32"/>
        </w:rPr>
        <w:t>民名单，并通知公民本人。</w:t>
      </w:r>
    </w:p>
    <w:bookmarkEnd w:id="2"/>
    <w:p w:rsidR="001069F9" w:rsidRDefault="00F82405" w:rsidP="00F82405">
      <w:pPr>
        <w:adjustRightInd w:val="0"/>
        <w:snapToGrid w:val="0"/>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第六条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旁听公民凭有效身份证件，由工作人员组织有序入场，佩戴旁听证件并在旁听席就座。</w:t>
      </w:r>
    </w:p>
    <w:p w:rsidR="001069F9" w:rsidRDefault="00F82405" w:rsidP="00F82405">
      <w:pPr>
        <w:adjustRightInd w:val="0"/>
        <w:snapToGrid w:val="0"/>
        <w:spacing w:line="576" w:lineRule="exact"/>
        <w:ind w:firstLineChars="200" w:firstLine="640"/>
        <w:rPr>
          <w:rFonts w:ascii="仿宋_GB2312" w:eastAsia="仿宋_GB2312" w:hAnsi="仿宋_GB2312" w:cs="仿宋_GB2312"/>
          <w:bCs/>
          <w:sz w:val="32"/>
          <w:szCs w:val="32"/>
        </w:rPr>
      </w:pPr>
      <w:bookmarkStart w:id="3" w:name="7"/>
      <w:r>
        <w:rPr>
          <w:rFonts w:ascii="黑体" w:eastAsia="黑体" w:hAnsi="黑体" w:cs="黑体" w:hint="eastAsia"/>
          <w:bCs/>
          <w:sz w:val="32"/>
          <w:szCs w:val="32"/>
        </w:rPr>
        <w:t>第七条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旁听公民对会议审议、讨论的事项有建议意见的，可以以口头或者书面形式向省人民代表大会秘书处或者省人民代表大会常务委员会办公厅反映，也可以通过参加旁听公民座谈会提出。</w:t>
      </w:r>
    </w:p>
    <w:p w:rsidR="001069F9" w:rsidRDefault="00F82405" w:rsidP="00F82405">
      <w:pPr>
        <w:adjustRightInd w:val="0"/>
        <w:snapToGrid w:val="0"/>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第八条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省人民代表大会秘书处或者省人民代表大会常务委员会办公厅组织召开座谈会听取旁听公民的建议意见。</w:t>
      </w:r>
    </w:p>
    <w:p w:rsidR="001069F9" w:rsidRDefault="00F82405" w:rsidP="00F82405">
      <w:pPr>
        <w:adjustRightInd w:val="0"/>
        <w:snapToGrid w:val="0"/>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座谈会由省人民代表大会常务委员会办公厅负责人主持，根据会议情况，省人民代表大会有关专门委员会办公室负责人和省人民代表大会</w:t>
      </w:r>
      <w:r>
        <w:rPr>
          <w:rFonts w:ascii="仿宋_GB2312" w:eastAsia="仿宋_GB2312" w:hAnsi="仿宋_GB2312" w:cs="仿宋_GB2312" w:hint="eastAsia"/>
          <w:bCs/>
          <w:sz w:val="32"/>
          <w:szCs w:val="32"/>
        </w:rPr>
        <w:t>常务委员会有关办事工作机构综合处室负责人参加会议。</w:t>
      </w:r>
    </w:p>
    <w:p w:rsidR="001069F9" w:rsidRDefault="00F82405" w:rsidP="00F82405">
      <w:pPr>
        <w:adjustRightInd w:val="0"/>
        <w:snapToGrid w:val="0"/>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旁听公民在座谈会上提出的建议意见，以会议简报形式分送相关部门，由相关部门及时梳理研究，必要时将处理情况反馈旁听公民。</w:t>
      </w:r>
    </w:p>
    <w:bookmarkEnd w:id="3"/>
    <w:p w:rsidR="001069F9" w:rsidRDefault="00F82405" w:rsidP="00F82405">
      <w:pPr>
        <w:adjustRightInd w:val="0"/>
        <w:snapToGrid w:val="0"/>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第九条</w:t>
      </w:r>
      <w:r>
        <w:rPr>
          <w:rFonts w:ascii="黑体" w:eastAsia="黑体" w:hAnsi="黑体" w:cs="黑体" w:hint="eastAsia"/>
          <w:bCs/>
          <w:sz w:val="32"/>
          <w:szCs w:val="32"/>
        </w:rPr>
        <w:t xml:space="preserve"> </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旁听公民应当遵守有关法律法规和会场纪律，服从会议统一安排，妥善保管会议文件等资料，未经公开的会议文件等资料不得外传。</w:t>
      </w:r>
      <w:bookmarkStart w:id="4" w:name="8"/>
    </w:p>
    <w:p w:rsidR="001069F9" w:rsidRDefault="00F82405" w:rsidP="00F82405">
      <w:pPr>
        <w:adjustRightInd w:val="0"/>
        <w:snapToGrid w:val="0"/>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lastRenderedPageBreak/>
        <w:t>第十条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省人民代表大会常务委员会办公厅可以根据会议情况邀请有关公民旁听会议。</w:t>
      </w:r>
    </w:p>
    <w:p w:rsidR="001069F9" w:rsidRDefault="00F82405" w:rsidP="00F82405">
      <w:pPr>
        <w:adjustRightInd w:val="0"/>
        <w:snapToGrid w:val="0"/>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邀请华侨旁听有关事项，由省人民代表大会常务委员会办公厅会同省人民代表大会外事侨务委员会另行制定方案。</w:t>
      </w:r>
    </w:p>
    <w:bookmarkEnd w:id="4"/>
    <w:p w:rsidR="001069F9" w:rsidRDefault="00F82405" w:rsidP="00F82405">
      <w:pPr>
        <w:adjustRightInd w:val="0"/>
        <w:snapToGrid w:val="0"/>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第十一条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本规定自公布之日起施行。</w:t>
      </w:r>
      <w:r>
        <w:rPr>
          <w:rFonts w:ascii="仿宋_GB2312" w:eastAsia="仿宋_GB2312" w:hAnsi="仿宋_GB2312" w:cs="仿宋_GB2312" w:hint="eastAsia"/>
          <w:bCs/>
          <w:sz w:val="32"/>
          <w:szCs w:val="32"/>
        </w:rPr>
        <w:t>2002</w:t>
      </w:r>
      <w:r>
        <w:rPr>
          <w:rFonts w:ascii="仿宋_GB2312" w:eastAsia="仿宋_GB2312" w:hAnsi="仿宋_GB2312" w:cs="仿宋_GB2312" w:hint="eastAsia"/>
          <w:bCs/>
          <w:sz w:val="32"/>
          <w:szCs w:val="32"/>
        </w:rPr>
        <w:t>年</w:t>
      </w:r>
      <w:r>
        <w:rPr>
          <w:rFonts w:ascii="仿宋_GB2312" w:eastAsia="仿宋_GB2312" w:hAnsi="仿宋_GB2312" w:cs="仿宋_GB2312" w:hint="eastAsia"/>
          <w:bCs/>
          <w:sz w:val="32"/>
          <w:szCs w:val="32"/>
        </w:rPr>
        <w:t>1</w:t>
      </w:r>
      <w:r>
        <w:rPr>
          <w:rFonts w:ascii="仿宋_GB2312" w:eastAsia="仿宋_GB2312" w:hAnsi="仿宋_GB2312" w:cs="仿宋_GB2312" w:hint="eastAsia"/>
          <w:bCs/>
          <w:sz w:val="32"/>
          <w:szCs w:val="32"/>
        </w:rPr>
        <w:t>月</w:t>
      </w:r>
      <w:r>
        <w:rPr>
          <w:rFonts w:ascii="仿宋_GB2312" w:eastAsia="仿宋_GB2312" w:hAnsi="仿宋_GB2312" w:cs="仿宋_GB2312" w:hint="eastAsia"/>
          <w:bCs/>
          <w:sz w:val="32"/>
          <w:szCs w:val="32"/>
        </w:rPr>
        <w:t>18</w:t>
      </w:r>
      <w:r>
        <w:rPr>
          <w:rFonts w:ascii="仿宋_GB2312" w:eastAsia="仿宋_GB2312" w:hAnsi="仿宋_GB2312" w:cs="仿宋_GB2312" w:hint="eastAsia"/>
          <w:bCs/>
          <w:sz w:val="32"/>
          <w:szCs w:val="32"/>
        </w:rPr>
        <w:t>日四川省第九届人民代表大会常务委员会第二十七次会议通过的《四川省公民旁听省人民代表大会常务委员会会议规定》同时废止。</w:t>
      </w:r>
    </w:p>
    <w:p w:rsidR="001069F9" w:rsidRDefault="001069F9" w:rsidP="00F82405">
      <w:pPr>
        <w:adjustRightInd w:val="0"/>
        <w:snapToGrid w:val="0"/>
        <w:spacing w:line="576" w:lineRule="exact"/>
        <w:ind w:firstLineChars="196" w:firstLine="630"/>
        <w:jc w:val="right"/>
        <w:rPr>
          <w:rFonts w:ascii="Times New Roman" w:eastAsia="方正仿宋简体" w:hAnsi="Times New Roman" w:cs="Times New Roman"/>
          <w:b/>
          <w:color w:val="000000"/>
          <w:sz w:val="32"/>
          <w:szCs w:val="32"/>
        </w:rPr>
      </w:pPr>
    </w:p>
    <w:sectPr w:rsidR="001069F9" w:rsidSect="00F82405">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82405">
      <w:r>
        <w:separator/>
      </w:r>
    </w:p>
  </w:endnote>
  <w:endnote w:type="continuationSeparator" w:id="0">
    <w:p w:rsidR="00000000" w:rsidRDefault="00F82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361786857"/>
      <w:docPartObj>
        <w:docPartGallery w:val="AutoText"/>
      </w:docPartObj>
    </w:sdtPr>
    <w:sdtEndPr/>
    <w:sdtContent>
      <w:p w:rsidR="001069F9" w:rsidRDefault="00F82405" w:rsidP="00F82405">
        <w:pPr>
          <w:pStyle w:val="a4"/>
          <w:ind w:firstLineChars="100" w:firstLine="280"/>
          <w:rPr>
            <w:rFonts w:ascii="Times New Roman" w:hAnsi="Times New Roman" w:cs="Times New Roman"/>
            <w:sz w:val="28"/>
            <w:szCs w:val="28"/>
          </w:rPr>
        </w:pPr>
        <w:r w:rsidRPr="00F82405">
          <w:rPr>
            <w:rFonts w:asciiTheme="minorEastAsia" w:hAnsiTheme="minorEastAsia" w:cs="Times New Roman"/>
            <w:sz w:val="28"/>
            <w:szCs w:val="28"/>
          </w:rPr>
          <w:t xml:space="preserve">— </w:t>
        </w:r>
        <w:r w:rsidRPr="00F82405">
          <w:rPr>
            <w:rFonts w:asciiTheme="minorEastAsia" w:hAnsiTheme="minorEastAsia" w:cs="Times New Roman"/>
            <w:sz w:val="28"/>
            <w:szCs w:val="28"/>
          </w:rPr>
          <w:fldChar w:fldCharType="begin"/>
        </w:r>
        <w:r w:rsidRPr="00F82405">
          <w:rPr>
            <w:rFonts w:asciiTheme="minorEastAsia" w:hAnsiTheme="minorEastAsia" w:cs="Times New Roman"/>
            <w:sz w:val="28"/>
            <w:szCs w:val="28"/>
          </w:rPr>
          <w:instrText>PAGE   \* MERGEFORMAT</w:instrText>
        </w:r>
        <w:r w:rsidRPr="00F82405">
          <w:rPr>
            <w:rFonts w:asciiTheme="minorEastAsia" w:hAnsiTheme="minorEastAsia" w:cs="Times New Roman"/>
            <w:sz w:val="28"/>
            <w:szCs w:val="28"/>
          </w:rPr>
          <w:fldChar w:fldCharType="separate"/>
        </w:r>
        <w:r w:rsidRPr="00F82405">
          <w:rPr>
            <w:rFonts w:asciiTheme="minorEastAsia" w:hAnsiTheme="minorEastAsia" w:cs="Times New Roman"/>
            <w:noProof/>
            <w:sz w:val="28"/>
            <w:szCs w:val="28"/>
            <w:lang w:val="zh-CN"/>
          </w:rPr>
          <w:t>2</w:t>
        </w:r>
        <w:r w:rsidRPr="00F82405">
          <w:rPr>
            <w:rFonts w:asciiTheme="minorEastAsia" w:hAnsiTheme="minorEastAsia" w:cs="Times New Roman"/>
            <w:sz w:val="28"/>
            <w:szCs w:val="28"/>
          </w:rPr>
          <w:fldChar w:fldCharType="end"/>
        </w:r>
        <w:r w:rsidRPr="00F82405">
          <w:rPr>
            <w:rFonts w:asciiTheme="minorEastAsia" w:hAnsiTheme="minorEastAsia" w:cs="Times New Roman"/>
            <w:sz w:val="28"/>
            <w:szCs w:val="28"/>
          </w:rPr>
          <w:t xml:space="preserve"> —</w:t>
        </w:r>
      </w:p>
    </w:sdtContent>
  </w:sdt>
  <w:p w:rsidR="001069F9" w:rsidRDefault="001069F9">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578440384"/>
      <w:docPartObj>
        <w:docPartGallery w:val="AutoText"/>
      </w:docPartObj>
    </w:sdtPr>
    <w:sdtEndPr>
      <w:rPr>
        <w:rFonts w:asciiTheme="minorEastAsia" w:hAnsiTheme="minorEastAsia"/>
      </w:rPr>
    </w:sdtEndPr>
    <w:sdtContent>
      <w:p w:rsidR="001069F9" w:rsidRPr="00F82405" w:rsidRDefault="00F82405" w:rsidP="00F82405">
        <w:pPr>
          <w:pStyle w:val="a4"/>
          <w:ind w:right="280"/>
          <w:jc w:val="right"/>
          <w:rPr>
            <w:rFonts w:asciiTheme="minorEastAsia" w:hAnsiTheme="minorEastAsia" w:cs="Times New Roman"/>
            <w:sz w:val="28"/>
            <w:szCs w:val="28"/>
          </w:rPr>
        </w:pPr>
        <w:r w:rsidRPr="00F82405">
          <w:rPr>
            <w:rFonts w:asciiTheme="minorEastAsia" w:hAnsiTheme="minorEastAsia" w:cs="Times New Roman"/>
            <w:sz w:val="28"/>
            <w:szCs w:val="28"/>
          </w:rPr>
          <w:t xml:space="preserve">— </w:t>
        </w:r>
        <w:r w:rsidRPr="00F82405">
          <w:rPr>
            <w:rFonts w:asciiTheme="minorEastAsia" w:hAnsiTheme="minorEastAsia" w:cs="Times New Roman"/>
            <w:sz w:val="28"/>
            <w:szCs w:val="28"/>
          </w:rPr>
          <w:fldChar w:fldCharType="begin"/>
        </w:r>
        <w:r w:rsidRPr="00F82405">
          <w:rPr>
            <w:rFonts w:asciiTheme="minorEastAsia" w:hAnsiTheme="minorEastAsia" w:cs="Times New Roman"/>
            <w:sz w:val="28"/>
            <w:szCs w:val="28"/>
          </w:rPr>
          <w:instrText>PAGE   \* MERGEFORMAT</w:instrText>
        </w:r>
        <w:r w:rsidRPr="00F82405">
          <w:rPr>
            <w:rFonts w:asciiTheme="minorEastAsia" w:hAnsiTheme="minorEastAsia" w:cs="Times New Roman"/>
            <w:sz w:val="28"/>
            <w:szCs w:val="28"/>
          </w:rPr>
          <w:fldChar w:fldCharType="separate"/>
        </w:r>
        <w:r w:rsidRPr="00F82405">
          <w:rPr>
            <w:rFonts w:asciiTheme="minorEastAsia" w:hAnsiTheme="minorEastAsia" w:cs="Times New Roman"/>
            <w:noProof/>
            <w:sz w:val="28"/>
            <w:szCs w:val="28"/>
            <w:lang w:val="zh-CN"/>
          </w:rPr>
          <w:t>1</w:t>
        </w:r>
        <w:r w:rsidRPr="00F82405">
          <w:rPr>
            <w:rFonts w:asciiTheme="minorEastAsia" w:hAnsiTheme="minorEastAsia" w:cs="Times New Roman"/>
            <w:sz w:val="28"/>
            <w:szCs w:val="28"/>
          </w:rPr>
          <w:fldChar w:fldCharType="end"/>
        </w:r>
        <w:r w:rsidRPr="00F82405">
          <w:rPr>
            <w:rFonts w:asciiTheme="minorEastAsia" w:hAnsiTheme="minorEastAsia" w:cs="Times New Roman"/>
            <w:sz w:val="28"/>
            <w:szCs w:val="28"/>
          </w:rPr>
          <w:t xml:space="preserve"> —</w:t>
        </w:r>
      </w:p>
    </w:sdtContent>
  </w:sdt>
  <w:p w:rsidR="001069F9" w:rsidRDefault="001069F9">
    <w:pPr>
      <w:pStyle w:val="a4"/>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82405">
      <w:r>
        <w:separator/>
      </w:r>
    </w:p>
  </w:footnote>
  <w:footnote w:type="continuationSeparator" w:id="0">
    <w:p w:rsidR="00000000" w:rsidRDefault="00F824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253"/>
    <w:rsid w:val="00003829"/>
    <w:rsid w:val="00015E8F"/>
    <w:rsid w:val="000262AB"/>
    <w:rsid w:val="00063FE5"/>
    <w:rsid w:val="000D7F58"/>
    <w:rsid w:val="001069F9"/>
    <w:rsid w:val="00127816"/>
    <w:rsid w:val="0013437E"/>
    <w:rsid w:val="001708C3"/>
    <w:rsid w:val="001B0632"/>
    <w:rsid w:val="001C728E"/>
    <w:rsid w:val="001F6D70"/>
    <w:rsid w:val="00203E15"/>
    <w:rsid w:val="00207625"/>
    <w:rsid w:val="0021281C"/>
    <w:rsid w:val="00235AA9"/>
    <w:rsid w:val="002B0C14"/>
    <w:rsid w:val="002B19A3"/>
    <w:rsid w:val="002D2BB3"/>
    <w:rsid w:val="002E1AD9"/>
    <w:rsid w:val="002E3424"/>
    <w:rsid w:val="00347B3B"/>
    <w:rsid w:val="003F1B2A"/>
    <w:rsid w:val="00413627"/>
    <w:rsid w:val="0044541A"/>
    <w:rsid w:val="004B1881"/>
    <w:rsid w:val="004B1887"/>
    <w:rsid w:val="005016C2"/>
    <w:rsid w:val="00516644"/>
    <w:rsid w:val="00520268"/>
    <w:rsid w:val="00552C04"/>
    <w:rsid w:val="005771BF"/>
    <w:rsid w:val="005F2FED"/>
    <w:rsid w:val="00636F16"/>
    <w:rsid w:val="006373BE"/>
    <w:rsid w:val="006B4DCE"/>
    <w:rsid w:val="00742ABF"/>
    <w:rsid w:val="007620FC"/>
    <w:rsid w:val="00774AF0"/>
    <w:rsid w:val="007C1073"/>
    <w:rsid w:val="007C1168"/>
    <w:rsid w:val="007E036C"/>
    <w:rsid w:val="0084217A"/>
    <w:rsid w:val="008729F6"/>
    <w:rsid w:val="008905C7"/>
    <w:rsid w:val="008B0253"/>
    <w:rsid w:val="008C4DFE"/>
    <w:rsid w:val="008D2B57"/>
    <w:rsid w:val="00950017"/>
    <w:rsid w:val="00980F31"/>
    <w:rsid w:val="00983987"/>
    <w:rsid w:val="00A428A0"/>
    <w:rsid w:val="00A657F0"/>
    <w:rsid w:val="00A67676"/>
    <w:rsid w:val="00A8765A"/>
    <w:rsid w:val="00A9100C"/>
    <w:rsid w:val="00A9345C"/>
    <w:rsid w:val="00A94E37"/>
    <w:rsid w:val="00AE1192"/>
    <w:rsid w:val="00B13743"/>
    <w:rsid w:val="00B20E9C"/>
    <w:rsid w:val="00BB340B"/>
    <w:rsid w:val="00BE70F1"/>
    <w:rsid w:val="00BF4560"/>
    <w:rsid w:val="00C67635"/>
    <w:rsid w:val="00C70EFB"/>
    <w:rsid w:val="00CB0683"/>
    <w:rsid w:val="00CB79BB"/>
    <w:rsid w:val="00CC60FC"/>
    <w:rsid w:val="00CE1E47"/>
    <w:rsid w:val="00CF08B9"/>
    <w:rsid w:val="00CF2269"/>
    <w:rsid w:val="00D04803"/>
    <w:rsid w:val="00D30C7E"/>
    <w:rsid w:val="00D7423E"/>
    <w:rsid w:val="00D87544"/>
    <w:rsid w:val="00E30732"/>
    <w:rsid w:val="00E336E0"/>
    <w:rsid w:val="00EA1A1A"/>
    <w:rsid w:val="00EE01DF"/>
    <w:rsid w:val="00F3452A"/>
    <w:rsid w:val="00F44A6E"/>
    <w:rsid w:val="00F82405"/>
    <w:rsid w:val="00F910DE"/>
    <w:rsid w:val="00FA4AF6"/>
    <w:rsid w:val="00FA69D2"/>
    <w:rsid w:val="00FF29C9"/>
    <w:rsid w:val="0355686D"/>
    <w:rsid w:val="4C6A5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159</Words>
  <Characters>908</Characters>
  <Application>Microsoft Office Word</Application>
  <DocSecurity>0</DocSecurity>
  <Lines>7</Lines>
  <Paragraphs>2</Paragraphs>
  <ScaleCrop>false</ScaleCrop>
  <Company>Microsoft</Company>
  <LinksUpToDate>false</LinksUpToDate>
  <CharactersWithSpaces>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8</cp:revision>
  <cp:lastPrinted>2019-11-28T05:06:00Z</cp:lastPrinted>
  <dcterms:created xsi:type="dcterms:W3CDTF">2019-11-28T08:50:00Z</dcterms:created>
  <dcterms:modified xsi:type="dcterms:W3CDTF">2019-12-17T01:59:00Z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