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19" w:name="_GoBack"/>
      <w:bookmarkEnd w:id="19"/>
    </w:p>
    <w:p w14:paraId="0AE7BF2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国务院关于涉外知识产权纠纷处理的规定"/>
      <w:bookmarkEnd w:id="0"/>
      <w:r>
        <w:rPr>
          <w:rFonts w:hint="eastAsia" w:ascii="方正小标宋简体" w:hAnsi="方正小标宋简体" w:eastAsia="方正小标宋简体" w:cs="方正小标宋简体"/>
          <w:color w:val="333333"/>
          <w:sz w:val="44"/>
          <w:szCs w:val="44"/>
          <w:shd w:val="clear" w:color="auto" w:fill="FFFFFF"/>
        </w:rPr>
        <w:t>国务院关于涉外知识产权纠纷处理的规定</w:t>
      </w:r>
    </w:p>
    <w:p w14:paraId="54F696A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1" w:name="第一条"/>
      <w:bookmarkEnd w:id="1"/>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为了加强知识产权保护，促进公民、组织依法处理涉外知识产权纠纷，维护公民、组织的合法权益，推进高水平对外开放，推动经济高质量发展，制定本规定。</w:t>
      </w:r>
    </w:p>
    <w:p w14:paraId="3CF6237E">
      <w:pPr>
        <w:ind w:firstLine="632" w:firstLineChars="200"/>
        <w:rPr>
          <w:rFonts w:ascii="Times New Roman" w:hAnsi="Times New Roman" w:cs="仿宋_GB2312"/>
          <w:sz w:val="32"/>
          <w:szCs w:val="32"/>
        </w:rPr>
      </w:pPr>
      <w:bookmarkStart w:id="2" w:name="第二条"/>
      <w:bookmarkEnd w:id="2"/>
      <w:r>
        <w:rPr>
          <w:rFonts w:hint="eastAsia" w:ascii="Times New Roman" w:hAnsi="Times New Roman" w:eastAsia="黑体" w:cs="黑体"/>
          <w:sz w:val="32"/>
          <w:szCs w:val="32"/>
        </w:rPr>
        <w:t>第二条</w:t>
      </w:r>
      <w:r>
        <w:rPr>
          <w:rFonts w:hint="eastAsia" w:ascii="Times New Roman" w:hAnsi="Times New Roman" w:cs="仿宋_GB2312"/>
          <w:sz w:val="32"/>
          <w:szCs w:val="32"/>
        </w:rPr>
        <w:t>　国务院负责商标、专利、著作权等知识产权管理工作的部门（以下称知识产权管理部门）以及商务主管部门，加强对公民、组织处理涉外知识产权纠纷的指导和服务，国务院其他有关部门按照职责分工做好相关工作。</w:t>
      </w:r>
    </w:p>
    <w:p w14:paraId="2E3B8F9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国务院有关部门加强工作协调和信息沟通，共同做好涉外知识产权纠纷处理相关工作。</w:t>
      </w:r>
    </w:p>
    <w:p w14:paraId="59D6A084">
      <w:pPr>
        <w:ind w:firstLine="632" w:firstLineChars="200"/>
        <w:rPr>
          <w:rFonts w:ascii="Times New Roman" w:hAnsi="Times New Roman" w:cs="仿宋_GB2312"/>
          <w:sz w:val="32"/>
          <w:szCs w:val="32"/>
        </w:rPr>
      </w:pPr>
      <w:bookmarkStart w:id="3" w:name="第三条"/>
      <w:bookmarkEnd w:id="3"/>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县级以上地方人民政府及其有关部门结合本地区实际情况，做好涉外知识产权纠纷处理相关工作。</w:t>
      </w:r>
    </w:p>
    <w:p w14:paraId="43FF8008">
      <w:pPr>
        <w:ind w:firstLine="632" w:firstLineChars="200"/>
        <w:rPr>
          <w:rFonts w:ascii="Times New Roman" w:hAnsi="Times New Roman" w:cs="仿宋_GB2312"/>
          <w:sz w:val="32"/>
          <w:szCs w:val="32"/>
        </w:rPr>
      </w:pPr>
      <w:bookmarkStart w:id="4" w:name="第四条"/>
      <w:bookmarkEnd w:id="4"/>
      <w:r>
        <w:rPr>
          <w:rFonts w:hint="eastAsia" w:ascii="Times New Roman" w:hAnsi="Times New Roman" w:eastAsia="黑体" w:cs="黑体"/>
          <w:sz w:val="32"/>
          <w:szCs w:val="32"/>
        </w:rPr>
        <w:t>第四条</w:t>
      </w:r>
      <w:r>
        <w:rPr>
          <w:rFonts w:hint="eastAsia" w:ascii="Times New Roman" w:hAnsi="Times New Roman" w:cs="仿宋_GB2312"/>
          <w:sz w:val="32"/>
          <w:szCs w:val="32"/>
        </w:rPr>
        <w:t>　国务院知识产权管理部门以及商务、司法行政等有关部门按照职责分工及时收集和发布国外知识产权法律制度信息，完善知识产权信息公共服务体系，为公众提供国外知识产权信息查询服务。</w:t>
      </w:r>
    </w:p>
    <w:p w14:paraId="3651AC23">
      <w:pPr>
        <w:ind w:firstLine="632" w:firstLineChars="200"/>
        <w:rPr>
          <w:rFonts w:ascii="Times New Roman" w:hAnsi="Times New Roman" w:cs="仿宋_GB2312"/>
          <w:sz w:val="32"/>
          <w:szCs w:val="32"/>
        </w:rPr>
      </w:pPr>
      <w:bookmarkStart w:id="5" w:name="第五条"/>
      <w:bookmarkEnd w:id="5"/>
      <w:r>
        <w:rPr>
          <w:rFonts w:hint="eastAsia" w:ascii="Times New Roman" w:hAnsi="Times New Roman" w:eastAsia="黑体" w:cs="黑体"/>
          <w:sz w:val="32"/>
          <w:szCs w:val="32"/>
        </w:rPr>
        <w:t>第五条</w:t>
      </w:r>
      <w:r>
        <w:rPr>
          <w:rFonts w:hint="eastAsia" w:ascii="Times New Roman" w:hAnsi="Times New Roman" w:cs="仿宋_GB2312"/>
          <w:sz w:val="32"/>
          <w:szCs w:val="32"/>
        </w:rPr>
        <w:t>　国务院知识产权管理部门、商务主管部门按照职责分工对国外知识产权法律制度变化等重点信息加强跟踪了解，开展典型案例分析研究，及时发布风险提示，为公众提供涉外知识产权预警。</w:t>
      </w:r>
    </w:p>
    <w:p w14:paraId="39654AD5">
      <w:pPr>
        <w:ind w:firstLine="632" w:firstLineChars="200"/>
        <w:rPr>
          <w:rFonts w:ascii="Times New Roman" w:hAnsi="Times New Roman" w:cs="仿宋_GB2312"/>
          <w:sz w:val="32"/>
          <w:szCs w:val="32"/>
        </w:rPr>
      </w:pPr>
      <w:bookmarkStart w:id="6" w:name="第六条"/>
      <w:bookmarkEnd w:id="6"/>
      <w:r>
        <w:rPr>
          <w:rFonts w:hint="eastAsia" w:ascii="Times New Roman" w:hAnsi="Times New Roman" w:eastAsia="黑体" w:cs="黑体"/>
          <w:sz w:val="32"/>
          <w:szCs w:val="32"/>
        </w:rPr>
        <w:t>第六条</w:t>
      </w:r>
      <w:r>
        <w:rPr>
          <w:rFonts w:hint="eastAsia" w:ascii="Times New Roman" w:hAnsi="Times New Roman" w:cs="仿宋_GB2312"/>
          <w:sz w:val="32"/>
          <w:szCs w:val="32"/>
        </w:rPr>
        <w:t>　国务院知识产权管理部门、商务主管部门按照职责分工健全涉外知识产权纠纷处理指导工作机构和工作规程，为公民、组织处理涉外知识产权纠纷提供应对指导和维权援助。</w:t>
      </w:r>
    </w:p>
    <w:p w14:paraId="5075DA9C">
      <w:pPr>
        <w:ind w:firstLine="632" w:firstLineChars="200"/>
        <w:rPr>
          <w:rFonts w:ascii="Times New Roman" w:hAnsi="Times New Roman" w:cs="仿宋_GB2312"/>
          <w:sz w:val="32"/>
          <w:szCs w:val="32"/>
        </w:rPr>
      </w:pPr>
      <w:bookmarkStart w:id="7" w:name="第七条"/>
      <w:bookmarkEnd w:id="7"/>
      <w:r>
        <w:rPr>
          <w:rFonts w:hint="eastAsia" w:ascii="Times New Roman" w:hAnsi="Times New Roman" w:eastAsia="黑体" w:cs="黑体"/>
          <w:sz w:val="32"/>
          <w:szCs w:val="32"/>
        </w:rPr>
        <w:t>第七条</w:t>
      </w:r>
      <w:r>
        <w:rPr>
          <w:rFonts w:hint="eastAsia" w:ascii="Times New Roman" w:hAnsi="Times New Roman" w:cs="仿宋_GB2312"/>
          <w:sz w:val="32"/>
          <w:szCs w:val="32"/>
        </w:rPr>
        <w:t>　支持商事调解组织、仲裁机构参与涉外知识产权纠纷解决，为公民、组织提供高效便捷的涉外知识产权纠纷解决途径，鼓励、引导公民、组织通过和解、调解、仲裁等方式快速解决涉外知识产权纠纷。</w:t>
      </w:r>
    </w:p>
    <w:p w14:paraId="4B46D17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国务院司法行政部门加强对涉外知识产权纠纷调解、仲裁工作的指导。</w:t>
      </w:r>
    </w:p>
    <w:p w14:paraId="392D60E7">
      <w:pPr>
        <w:ind w:firstLine="632" w:firstLineChars="200"/>
        <w:rPr>
          <w:rFonts w:ascii="Times New Roman" w:hAnsi="Times New Roman" w:cs="仿宋_GB2312"/>
          <w:sz w:val="32"/>
          <w:szCs w:val="32"/>
        </w:rPr>
      </w:pPr>
      <w:bookmarkStart w:id="8" w:name="第八条"/>
      <w:bookmarkEnd w:id="8"/>
      <w:r>
        <w:rPr>
          <w:rFonts w:hint="eastAsia" w:ascii="Times New Roman" w:hAnsi="Times New Roman" w:eastAsia="黑体" w:cs="黑体"/>
          <w:sz w:val="32"/>
          <w:szCs w:val="32"/>
        </w:rPr>
        <w:t>第八条</w:t>
      </w:r>
      <w:r>
        <w:rPr>
          <w:rFonts w:hint="eastAsia" w:ascii="Times New Roman" w:hAnsi="Times New Roman" w:cs="仿宋_GB2312"/>
          <w:sz w:val="32"/>
          <w:szCs w:val="32"/>
        </w:rPr>
        <w:t>　鼓励律师事务所、知识产权服务机构等提高涉外知识产权服务能力，通过设立分支机构、联合经营等方式在国外设立执业机构，为公民、组织提供优质高效的涉外知识产权相关服务。</w:t>
      </w:r>
    </w:p>
    <w:p w14:paraId="2570AA2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国务院司法行政部门、知识产权管理部门会同有关部门采取措施，为律师事务所、知识产权服务机构等加强涉外知识产权相关服务创造条件。</w:t>
      </w:r>
    </w:p>
    <w:p w14:paraId="77710AA3">
      <w:pPr>
        <w:ind w:firstLine="632" w:firstLineChars="200"/>
        <w:rPr>
          <w:rFonts w:ascii="Times New Roman" w:hAnsi="Times New Roman" w:cs="仿宋_GB2312"/>
          <w:sz w:val="32"/>
          <w:szCs w:val="32"/>
        </w:rPr>
      </w:pPr>
      <w:bookmarkStart w:id="9" w:name="第九条"/>
      <w:bookmarkEnd w:id="9"/>
      <w:r>
        <w:rPr>
          <w:rFonts w:hint="eastAsia" w:ascii="Times New Roman" w:hAnsi="Times New Roman" w:eastAsia="黑体" w:cs="黑体"/>
          <w:sz w:val="32"/>
          <w:szCs w:val="32"/>
        </w:rPr>
        <w:t>第九条</w:t>
      </w:r>
      <w:r>
        <w:rPr>
          <w:rFonts w:hint="eastAsia" w:ascii="Times New Roman" w:hAnsi="Times New Roman" w:cs="仿宋_GB2312"/>
          <w:sz w:val="32"/>
          <w:szCs w:val="32"/>
        </w:rPr>
        <w:t>　支持企业设立涉外知识产权保护维权互助基金，鼓励保险机构按照市场化原则开展涉外知识产权相关保险业务，降低企业维权成本。</w:t>
      </w:r>
    </w:p>
    <w:p w14:paraId="025D5990">
      <w:pPr>
        <w:ind w:firstLine="632" w:firstLineChars="200"/>
        <w:rPr>
          <w:rFonts w:ascii="Times New Roman" w:hAnsi="Times New Roman" w:cs="仿宋_GB2312"/>
          <w:sz w:val="32"/>
          <w:szCs w:val="32"/>
        </w:rPr>
      </w:pPr>
      <w:bookmarkStart w:id="10" w:name="第十条"/>
      <w:bookmarkEnd w:id="10"/>
      <w:r>
        <w:rPr>
          <w:rFonts w:hint="eastAsia" w:ascii="Times New Roman" w:hAnsi="Times New Roman" w:eastAsia="黑体" w:cs="黑体"/>
          <w:sz w:val="32"/>
          <w:szCs w:val="32"/>
        </w:rPr>
        <w:t>第十条</w:t>
      </w:r>
      <w:r>
        <w:rPr>
          <w:rFonts w:hint="eastAsia" w:ascii="Times New Roman" w:hAnsi="Times New Roman" w:cs="仿宋_GB2312"/>
          <w:sz w:val="32"/>
          <w:szCs w:val="32"/>
        </w:rPr>
        <w:t>　鼓励商会、行业协会、跨境电商平台等组织搭建涉外知识产权维权援助平台，开通服务热线，提供咨询、培训等公益服务。</w:t>
      </w:r>
    </w:p>
    <w:p w14:paraId="54FA21E6">
      <w:pPr>
        <w:ind w:firstLine="632" w:firstLineChars="200"/>
        <w:rPr>
          <w:rFonts w:ascii="Times New Roman" w:hAnsi="Times New Roman" w:cs="仿宋_GB2312"/>
          <w:sz w:val="32"/>
          <w:szCs w:val="32"/>
        </w:rPr>
      </w:pPr>
      <w:bookmarkStart w:id="11" w:name="第十一条"/>
      <w:bookmarkEnd w:id="11"/>
      <w:r>
        <w:rPr>
          <w:rFonts w:hint="eastAsia" w:ascii="Times New Roman" w:hAnsi="Times New Roman" w:eastAsia="黑体" w:cs="黑体"/>
          <w:sz w:val="32"/>
          <w:szCs w:val="32"/>
        </w:rPr>
        <w:t>第十一条</w:t>
      </w:r>
      <w:r>
        <w:rPr>
          <w:rFonts w:hint="eastAsia" w:ascii="Times New Roman" w:hAnsi="Times New Roman" w:cs="仿宋_GB2312"/>
          <w:sz w:val="32"/>
          <w:szCs w:val="32"/>
        </w:rPr>
        <w:t>　企业应当增强法治意识，建立健全内部规章制度，加强知识产权人才储备，强化知识产权保护和运用；进入国外市场，应当主动了解所在国家或者地区的法律制度、知识产权保护状况，依法开展生产经营活动，积极维护自身合法权益。</w:t>
      </w:r>
    </w:p>
    <w:p w14:paraId="5E49B29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知识产权管理部门、商务主管部门会同有关部门聚焦企业涉外生产经营活动中知识产权保护需求，围绕涉外知识产权纠纷重点领域和关键环节，面向企业开展宣传、培训，结合典型案例介绍依法处理涉外知识产权纠纷的经验和做法，提升企业涉外知识产权保护意识和纠纷处理能力。</w:t>
      </w:r>
    </w:p>
    <w:p w14:paraId="601B292F">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国务院司法行政部门按照“谁执法谁普法”普法责任制的要求，加强知识产权相关法治宣传教育，全面提升公民、组织知识产权保护意识和依法维权能力。</w:t>
      </w:r>
    </w:p>
    <w:p w14:paraId="4902D92D">
      <w:pPr>
        <w:ind w:firstLine="632" w:firstLineChars="200"/>
        <w:rPr>
          <w:rFonts w:ascii="Times New Roman" w:hAnsi="Times New Roman" w:cs="仿宋_GB2312"/>
          <w:sz w:val="32"/>
          <w:szCs w:val="32"/>
        </w:rPr>
      </w:pPr>
      <w:bookmarkStart w:id="12" w:name="第十二条"/>
      <w:bookmarkEnd w:id="12"/>
      <w:r>
        <w:rPr>
          <w:rFonts w:hint="eastAsia" w:ascii="Times New Roman" w:hAnsi="Times New Roman" w:eastAsia="黑体" w:cs="黑体"/>
          <w:sz w:val="32"/>
          <w:szCs w:val="32"/>
        </w:rPr>
        <w:t>第十二条</w:t>
      </w:r>
      <w:r>
        <w:rPr>
          <w:rFonts w:hint="eastAsia" w:ascii="Times New Roman" w:hAnsi="Times New Roman" w:cs="仿宋_GB2312"/>
          <w:sz w:val="32"/>
          <w:szCs w:val="32"/>
        </w:rPr>
        <w:t>　在我国境内送达文书、调查取证应当依照我国缔结或者参加的国际条约以及《中华人民共和国民事诉讼法》、《中华人民共和国国际刑事司法协助法》等法律规定办理。任何组织和个人均不得违反我国法律规定，在我国境内送达文书、调查取证。</w:t>
      </w:r>
    </w:p>
    <w:p w14:paraId="6F25FFBB">
      <w:pPr>
        <w:ind w:firstLine="632" w:firstLineChars="200"/>
        <w:rPr>
          <w:rFonts w:ascii="Times New Roman" w:hAnsi="Times New Roman" w:cs="仿宋_GB2312"/>
          <w:sz w:val="32"/>
          <w:szCs w:val="32"/>
        </w:rPr>
      </w:pPr>
      <w:bookmarkStart w:id="13" w:name="第十三条"/>
      <w:bookmarkEnd w:id="13"/>
      <w:r>
        <w:rPr>
          <w:rFonts w:hint="eastAsia" w:ascii="Times New Roman" w:hAnsi="Times New Roman" w:eastAsia="黑体" w:cs="黑体"/>
          <w:sz w:val="32"/>
          <w:szCs w:val="32"/>
        </w:rPr>
        <w:t>第十三条</w:t>
      </w:r>
      <w:r>
        <w:rPr>
          <w:rFonts w:hint="eastAsia" w:ascii="Times New Roman" w:hAnsi="Times New Roman" w:cs="仿宋_GB2312"/>
          <w:sz w:val="32"/>
          <w:szCs w:val="32"/>
        </w:rPr>
        <w:t>　我国境内的组织、个人参与境外知识产权相关诉讼或者受到境外司法或执法机构相关调查，需要向境外提供证据或者相关材料的，应当遵守保守国家秘密、数据安全、个人信息保护、技术出口管理、司法协助等法律、行政法规规定。依法须经主管机关准许的，应当履行相关法律程序。</w:t>
      </w:r>
    </w:p>
    <w:p w14:paraId="5C347D91">
      <w:pPr>
        <w:ind w:firstLine="632" w:firstLineChars="200"/>
        <w:rPr>
          <w:rFonts w:ascii="Times New Roman" w:hAnsi="Times New Roman" w:cs="仿宋_GB2312"/>
          <w:sz w:val="32"/>
          <w:szCs w:val="32"/>
        </w:rPr>
      </w:pPr>
      <w:bookmarkStart w:id="14" w:name="第十四条"/>
      <w:bookmarkEnd w:id="14"/>
      <w:r>
        <w:rPr>
          <w:rFonts w:hint="eastAsia" w:ascii="Times New Roman" w:hAnsi="Times New Roman" w:eastAsia="黑体" w:cs="黑体"/>
          <w:sz w:val="32"/>
          <w:szCs w:val="32"/>
        </w:rPr>
        <w:t>第十四条</w:t>
      </w:r>
      <w:r>
        <w:rPr>
          <w:rFonts w:hint="eastAsia" w:ascii="Times New Roman" w:hAnsi="Times New Roman" w:cs="仿宋_GB2312"/>
          <w:sz w:val="32"/>
          <w:szCs w:val="32"/>
        </w:rPr>
        <w:t>　国务院商务主管部门可以依照《中华人民共和国对外贸易法》对下列事项进行调查并采取必要的措施：</w:t>
      </w:r>
    </w:p>
    <w:p w14:paraId="5090746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（一）进口货物侵犯知识产权，并危害对外贸易秩序的；</w:t>
      </w:r>
    </w:p>
    <w:p w14:paraId="118B097D">
      <w:pPr>
        <w:ind w:firstLine="632" w:firstLineChars="200"/>
        <w:rPr>
          <w:rFonts w:ascii="Times New Roman" w:hAnsi="Times New Roman" w:cs="仿宋_GB2312"/>
          <w:sz w:val="32"/>
          <w:szCs w:val="32"/>
        </w:rPr>
      </w:pPr>
      <w:r>
        <w:rPr>
          <w:rFonts w:hint="eastAsia" w:ascii="Times New Roman" w:hAnsi="Times New Roman" w:cs="仿宋_GB2312"/>
          <w:sz w:val="32"/>
          <w:szCs w:val="32"/>
        </w:rPr>
        <w:t>（二）知识产权权利人有阻止被许可人对许可合同中的知识产权的有效性提出质疑、进行强制性一揽子许可、在许可合同中规定排他性返授条件等行为之一，并危害对外贸易公平竞争秩序的；</w:t>
      </w:r>
    </w:p>
    <w:p w14:paraId="048552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（三）其他国家或者地区在知识产权保护方面未给予我国公民、组织国民待遇，或者不能对来源于我国的货物、技术或者服务提供充分有效的知识产权保护的。</w:t>
      </w:r>
    </w:p>
    <w:p w14:paraId="486E5BAA">
      <w:pPr>
        <w:ind w:firstLine="632" w:firstLineChars="200"/>
        <w:rPr>
          <w:rFonts w:ascii="Times New Roman" w:hAnsi="Times New Roman" w:cs="仿宋_GB2312"/>
          <w:sz w:val="32"/>
          <w:szCs w:val="32"/>
        </w:rPr>
      </w:pPr>
      <w:bookmarkStart w:id="15" w:name="第十五条"/>
      <w:bookmarkEnd w:id="15"/>
      <w:r>
        <w:rPr>
          <w:rFonts w:hint="eastAsia" w:ascii="Times New Roman" w:hAnsi="Times New Roman" w:eastAsia="黑体" w:cs="黑体"/>
          <w:sz w:val="32"/>
          <w:szCs w:val="32"/>
        </w:rPr>
        <w:t>第十五条</w:t>
      </w:r>
      <w:r>
        <w:rPr>
          <w:rFonts w:hint="eastAsia" w:ascii="Times New Roman" w:hAnsi="Times New Roman" w:cs="仿宋_GB2312"/>
          <w:sz w:val="32"/>
          <w:szCs w:val="32"/>
        </w:rPr>
        <w:t>　外国国家违反国际法和国际关系基本准则，以知识产权纠纷为借口对我国进行遏制、打压，对我国公民、组织采取歧视性限制措施，干涉我国内政的，国务院有关部门可以依照《中华人民共和国对外关系法》、《中华人民共和国反外国制裁法》等法律将直接或者间接参与制定、决定、实施歧视性限制措施的组织、个人列入反制清单，采取相应反制和限制措施。</w:t>
      </w:r>
    </w:p>
    <w:p w14:paraId="37F11D5D">
      <w:pPr>
        <w:ind w:firstLine="632" w:firstLineChars="200"/>
        <w:rPr>
          <w:rFonts w:ascii="Times New Roman" w:hAnsi="Times New Roman" w:cs="仿宋_GB2312"/>
          <w:sz w:val="32"/>
          <w:szCs w:val="32"/>
        </w:rPr>
      </w:pPr>
      <w:bookmarkStart w:id="16" w:name="第十六条"/>
      <w:bookmarkEnd w:id="16"/>
      <w:r>
        <w:rPr>
          <w:rFonts w:hint="eastAsia" w:ascii="Times New Roman" w:hAnsi="Times New Roman" w:eastAsia="黑体" w:cs="黑体"/>
          <w:sz w:val="32"/>
          <w:szCs w:val="32"/>
        </w:rPr>
        <w:t>第十六条</w:t>
      </w:r>
      <w:r>
        <w:rPr>
          <w:rFonts w:hint="eastAsia" w:ascii="Times New Roman" w:hAnsi="Times New Roman" w:cs="仿宋_GB2312"/>
          <w:sz w:val="32"/>
          <w:szCs w:val="32"/>
        </w:rPr>
        <w:t>　任何组织和个人均不得执行或者协助执行外国国家以知识产权纠纷为借口对我国公民、组织采取的歧视性限制措施。</w:t>
      </w:r>
    </w:p>
    <w:p w14:paraId="5361779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任何组织和个人违反前款规定，侵害我国公民、组织合法权益的，我国公民、组织可以依法向人民法院提起诉讼，要求其停止侵害、赔偿损失。</w:t>
      </w:r>
    </w:p>
    <w:p w14:paraId="5F080711">
      <w:pPr>
        <w:ind w:firstLine="632" w:firstLineChars="200"/>
        <w:rPr>
          <w:rFonts w:ascii="Times New Roman" w:hAnsi="Times New Roman" w:cs="仿宋_GB2312"/>
          <w:sz w:val="32"/>
          <w:szCs w:val="32"/>
        </w:rPr>
      </w:pPr>
      <w:bookmarkStart w:id="17" w:name="第十七条"/>
      <w:bookmarkEnd w:id="17"/>
      <w:r>
        <w:rPr>
          <w:rFonts w:hint="eastAsia" w:ascii="Times New Roman" w:hAnsi="Times New Roman" w:eastAsia="黑体" w:cs="黑体"/>
          <w:sz w:val="32"/>
          <w:szCs w:val="32"/>
        </w:rPr>
        <w:t>第十七条</w:t>
      </w:r>
      <w:r>
        <w:rPr>
          <w:rFonts w:hint="eastAsia" w:ascii="Times New Roman" w:hAnsi="Times New Roman" w:cs="仿宋_GB2312"/>
          <w:sz w:val="32"/>
          <w:szCs w:val="32"/>
        </w:rPr>
        <w:t>　国务院有关部门加强协调配合，对利用知识产权纠纷危害我国主权、安全、发展利益的，依照《中华人民共和国国家安全法》、《中华人民共和国对外关系法》、《中华人民共和国反外国制裁法》等法律采取相应措施；对滥用知识产权排除、限制竞争或者实施不正当竞争等行为的，依照《中华人民共和国反垄断法》、《中华人民共和国反不正当竞争法》等法律予以处理。</w:t>
      </w:r>
    </w:p>
    <w:p w14:paraId="77B3529C">
      <w:pPr>
        <w:ind w:firstLine="632" w:firstLineChars="200"/>
        <w:rPr>
          <w:rFonts w:ascii="Times New Roman" w:hAnsi="Times New Roman" w:cs="仿宋_GB2312"/>
          <w:sz w:val="32"/>
          <w:szCs w:val="32"/>
        </w:rPr>
      </w:pPr>
      <w:bookmarkStart w:id="18" w:name="第十八条"/>
      <w:bookmarkEnd w:id="18"/>
      <w:r>
        <w:rPr>
          <w:rFonts w:hint="eastAsia" w:ascii="Times New Roman" w:hAnsi="Times New Roman" w:eastAsia="黑体" w:cs="黑体"/>
          <w:sz w:val="32"/>
          <w:szCs w:val="32"/>
        </w:rPr>
        <w:t>第十八条</w:t>
      </w:r>
      <w:r>
        <w:rPr>
          <w:rFonts w:hint="eastAsia" w:ascii="Times New Roman" w:hAnsi="Times New Roman" w:cs="仿宋_GB2312"/>
          <w:sz w:val="32"/>
          <w:szCs w:val="32"/>
        </w:rPr>
        <w:t>　本规定自2025年5月1日起施行。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01F7079"/>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2148</Words>
  <Characters>2151</Characters>
  <Lines>87</Lines>
  <Paragraphs>24</Paragraphs>
  <TotalTime>3</TotalTime>
  <ScaleCrop>false</ScaleCrop>
  <LinksUpToDate>false</LinksUpToDate>
  <CharactersWithSpaces>2169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2025-04-07T03:03:49Z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7958F25F31B84614BD800C1B5935FEE5_13</vt:lpwstr>
  </property>
  <property fmtid="{D5CDD505-2E9C-101B-9397-08002B2CF9AE}" pid="3" name="KSOProductBuildVer">
    <vt:lpwstr>2052-12.1.0.20305</vt:lpwstr>
  </property>
</Properties>
</file>