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天津市实施《中华人民共和国</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农业技术推广法》办法</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 w:hAnsi="楷体" w:eastAsia="楷体" w:cs="楷体"/>
        </w:rPr>
      </w:pPr>
      <w:r>
        <w:rPr>
          <w:rFonts w:hint="eastAsia" w:ascii="楷体" w:hAnsi="楷体" w:eastAsia="楷体" w:cs="楷体"/>
        </w:rPr>
        <w:t>(2016年12月15日天津市第十六届人民代表大会常务委员会第三十二次会议修订通过)</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 w:hAnsi="楷体" w:eastAsia="楷体" w:cs="楷体"/>
        </w:rPr>
      </w:pPr>
    </w:p>
    <w:p>
      <w:pPr>
        <w:pStyle w:val="5"/>
        <w:adjustRightInd w:val="0"/>
        <w:snapToGrid w:val="0"/>
        <w:spacing w:line="560" w:lineRule="exact"/>
        <w:contextualSpacing/>
        <w:jc w:val="center"/>
        <w:rPr>
          <w:rFonts w:ascii="楷体_GB2312" w:hAnsi="Adobe 仿宋 Std R" w:eastAsia="楷体_GB2312" w:cs="宋体"/>
          <w:szCs w:val="32"/>
        </w:rPr>
      </w:pPr>
      <w:r>
        <w:rPr>
          <w:rFonts w:hint="eastAsia" w:ascii="楷体_GB2312" w:hAnsi="Adobe 仿宋 Std R" w:eastAsia="楷体_GB2312" w:cs="宋体"/>
          <w:szCs w:val="32"/>
        </w:rPr>
        <w:t>目  录</w:t>
      </w:r>
    </w:p>
    <w:p>
      <w:pPr>
        <w:pStyle w:val="5"/>
        <w:adjustRightInd w:val="0"/>
        <w:snapToGrid w:val="0"/>
        <w:spacing w:line="560" w:lineRule="exact"/>
        <w:ind w:left="632" w:leftChars="200"/>
        <w:contextualSpacing/>
        <w:rPr>
          <w:rFonts w:hint="eastAsia" w:ascii="楷体_GB2312" w:hAnsi="Adobe 仿宋 Std R" w:eastAsia="楷体_GB2312" w:cs="宋体"/>
          <w:szCs w:val="32"/>
        </w:rPr>
      </w:pPr>
      <w:r>
        <w:rPr>
          <w:rFonts w:hint="eastAsia" w:ascii="楷体_GB2312" w:hAnsi="Adobe 仿宋 Std R" w:eastAsia="楷体_GB2312" w:cs="宋体"/>
          <w:szCs w:val="32"/>
        </w:rPr>
        <w:t>第一章  总则</w:t>
      </w:r>
    </w:p>
    <w:p>
      <w:pPr>
        <w:pStyle w:val="5"/>
        <w:adjustRightInd w:val="0"/>
        <w:snapToGrid w:val="0"/>
        <w:spacing w:line="560" w:lineRule="exact"/>
        <w:ind w:left="632" w:leftChars="200"/>
        <w:contextualSpacing/>
        <w:rPr>
          <w:rFonts w:hint="eastAsia" w:ascii="楷体_GB2312" w:hAnsi="Adobe 仿宋 Std R" w:eastAsia="楷体_GB2312" w:cs="宋体"/>
          <w:szCs w:val="32"/>
        </w:rPr>
      </w:pPr>
      <w:r>
        <w:rPr>
          <w:rFonts w:hint="eastAsia" w:ascii="楷体_GB2312" w:hAnsi="Adobe 仿宋 Std R" w:eastAsia="楷体_GB2312" w:cs="宋体"/>
          <w:szCs w:val="32"/>
        </w:rPr>
        <w:t xml:space="preserve">第二章 </w:t>
      </w:r>
      <w:r>
        <w:rPr>
          <w:rFonts w:hint="eastAsia" w:ascii="楷体_GB2312" w:hAnsi="Adobe 仿宋 Std R" w:eastAsia="楷体_GB2312" w:cs="宋体"/>
          <w:szCs w:val="32"/>
          <w:lang w:val="en-US" w:eastAsia="zh-CN"/>
        </w:rPr>
        <w:t xml:space="preserve"> </w:t>
      </w:r>
      <w:r>
        <w:rPr>
          <w:rFonts w:hint="eastAsia" w:ascii="楷体_GB2312" w:hAnsi="Adobe 仿宋 Std R" w:eastAsia="楷体_GB2312" w:cs="宋体"/>
          <w:szCs w:val="32"/>
        </w:rPr>
        <w:t>农业技术推广体系</w:t>
      </w:r>
    </w:p>
    <w:p>
      <w:pPr>
        <w:pStyle w:val="5"/>
        <w:adjustRightInd w:val="0"/>
        <w:snapToGrid w:val="0"/>
        <w:spacing w:line="560" w:lineRule="exact"/>
        <w:ind w:left="632" w:leftChars="200"/>
        <w:contextualSpacing/>
        <w:rPr>
          <w:rFonts w:hint="eastAsia" w:ascii="楷体_GB2312" w:hAnsi="Adobe 仿宋 Std R" w:eastAsia="楷体_GB2312" w:cs="宋体"/>
          <w:szCs w:val="32"/>
        </w:rPr>
      </w:pPr>
      <w:r>
        <w:rPr>
          <w:rFonts w:hint="eastAsia" w:ascii="楷体_GB2312" w:hAnsi="Adobe 仿宋 Std R" w:eastAsia="楷体_GB2312" w:cs="宋体"/>
          <w:szCs w:val="32"/>
          <w:lang w:val="en-US" w:eastAsia="zh-CN"/>
        </w:rPr>
        <w:t xml:space="preserve">第三章  </w:t>
      </w:r>
      <w:r>
        <w:rPr>
          <w:rFonts w:hint="eastAsia" w:ascii="楷体_GB2312" w:hAnsi="Adobe 仿宋 Std R" w:eastAsia="楷体_GB2312" w:cs="宋体"/>
          <w:szCs w:val="32"/>
        </w:rPr>
        <w:t>农业技术的推广与应用</w:t>
      </w:r>
    </w:p>
    <w:p>
      <w:pPr>
        <w:pStyle w:val="5"/>
        <w:adjustRightInd w:val="0"/>
        <w:snapToGrid w:val="0"/>
        <w:spacing w:line="560" w:lineRule="exact"/>
        <w:ind w:left="632" w:leftChars="200"/>
        <w:contextualSpacing/>
        <w:rPr>
          <w:rFonts w:hint="eastAsia" w:ascii="楷体_GB2312" w:hAnsi="Adobe 仿宋 Std R" w:eastAsia="楷体_GB2312" w:cs="宋体"/>
          <w:szCs w:val="32"/>
        </w:rPr>
      </w:pPr>
      <w:r>
        <w:rPr>
          <w:rFonts w:hint="eastAsia" w:ascii="楷体_GB2312" w:hAnsi="Adobe 仿宋 Std R" w:eastAsia="楷体_GB2312" w:cs="宋体"/>
          <w:szCs w:val="32"/>
          <w:lang w:val="en-US" w:eastAsia="zh-CN"/>
        </w:rPr>
        <w:t xml:space="preserve">第四章  </w:t>
      </w:r>
      <w:r>
        <w:rPr>
          <w:rFonts w:hint="eastAsia" w:ascii="楷体_GB2312" w:hAnsi="Adobe 仿宋 Std R" w:eastAsia="楷体_GB2312" w:cs="宋体"/>
          <w:szCs w:val="32"/>
        </w:rPr>
        <w:t>农业技术推广的保障措施</w:t>
      </w:r>
    </w:p>
    <w:p>
      <w:pPr>
        <w:pStyle w:val="5"/>
        <w:adjustRightInd w:val="0"/>
        <w:snapToGrid w:val="0"/>
        <w:spacing w:line="560" w:lineRule="exact"/>
        <w:ind w:left="632" w:leftChars="200"/>
        <w:contextualSpacing/>
        <w:rPr>
          <w:rFonts w:hint="eastAsia" w:ascii="楷体_GB2312" w:hAnsi="Adobe 仿宋 Std R" w:eastAsia="楷体_GB2312" w:cs="宋体"/>
          <w:szCs w:val="32"/>
          <w:lang w:val="en-US" w:eastAsia="zh-CN"/>
        </w:rPr>
      </w:pPr>
      <w:bookmarkStart w:id="0" w:name="_GoBack"/>
      <w:bookmarkEnd w:id="0"/>
      <w:r>
        <w:rPr>
          <w:rFonts w:hint="eastAsia" w:ascii="楷体_GB2312" w:hAnsi="Adobe 仿宋 Std R" w:eastAsia="楷体_GB2312" w:cs="宋体"/>
          <w:szCs w:val="32"/>
          <w:lang w:val="en-US" w:eastAsia="zh-CN"/>
        </w:rPr>
        <w:t>第五章  法律责任</w:t>
      </w:r>
    </w:p>
    <w:p>
      <w:pPr>
        <w:pStyle w:val="5"/>
        <w:adjustRightInd w:val="0"/>
        <w:snapToGrid w:val="0"/>
        <w:spacing w:line="560" w:lineRule="exact"/>
        <w:ind w:left="632" w:leftChars="200"/>
        <w:contextualSpacing/>
        <w:rPr>
          <w:rFonts w:hint="eastAsia" w:ascii="楷体_GB2312" w:hAnsi="Adobe 仿宋 Std R" w:eastAsia="楷体_GB2312" w:cs="宋体"/>
          <w:szCs w:val="32"/>
          <w:lang w:val="en-US" w:eastAsia="zh-CN"/>
        </w:rPr>
      </w:pPr>
      <w:r>
        <w:rPr>
          <w:rFonts w:hint="eastAsia" w:ascii="楷体_GB2312" w:hAnsi="Adobe 仿宋 Std R" w:eastAsia="楷体_GB2312" w:cs="宋体"/>
          <w:szCs w:val="32"/>
          <w:lang w:val="en-US" w:eastAsia="zh-CN"/>
        </w:rPr>
        <w:t xml:space="preserve">第六章  附则 </w:t>
      </w:r>
    </w:p>
    <w:p>
      <w:pPr>
        <w:rPr>
          <w:rFonts w:hint="eastAsia"/>
        </w:rPr>
      </w:pPr>
    </w:p>
    <w:p>
      <w:pPr>
        <w:jc w:val="center"/>
        <w:rPr>
          <w:rFonts w:hint="eastAsia" w:ascii="黑体" w:hAnsi="黑体" w:eastAsia="黑体" w:cs="黑体"/>
        </w:rPr>
      </w:pPr>
      <w:r>
        <w:rPr>
          <w:rFonts w:hint="eastAsia" w:ascii="黑体" w:hAnsi="黑体" w:eastAsia="黑体" w:cs="黑体"/>
        </w:rPr>
        <w:t xml:space="preserve">第一章 </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rPr>
      </w:pPr>
    </w:p>
    <w:p>
      <w:pPr>
        <w:rPr>
          <w:rFonts w:hint="eastAsia"/>
        </w:rPr>
      </w:pPr>
      <w:r>
        <w:rPr>
          <w:rFonts w:hint="eastAsia"/>
        </w:rPr>
        <w:t>　　</w:t>
      </w:r>
      <w:r>
        <w:rPr>
          <w:rFonts w:hint="eastAsia" w:ascii="黑体" w:hAnsi="黑体" w:eastAsia="黑体" w:cs="黑体"/>
        </w:rPr>
        <w:t>第一条</w:t>
      </w:r>
      <w:r>
        <w:rPr>
          <w:rFonts w:hint="eastAsia"/>
        </w:rPr>
        <w:t xml:space="preserve"> </w:t>
      </w:r>
      <w:r>
        <w:rPr>
          <w:rFonts w:hint="eastAsia"/>
          <w:lang w:val="en-US" w:eastAsia="zh-CN"/>
        </w:rPr>
        <w:t xml:space="preserve"> </w:t>
      </w:r>
      <w:r>
        <w:rPr>
          <w:rFonts w:hint="eastAsia"/>
        </w:rPr>
        <w:t>为了加强农业技术推广工作，促使农业科研成果和实用技术尽快应用于农业生产，增强科技支撑保障能力，促进本市农业和农村经济可持续发展，根据《中华人民共和国农业技术推广法》，结合本市实际情况，制定本办法。</w:t>
      </w:r>
    </w:p>
    <w:p>
      <w:pPr>
        <w:rPr>
          <w:rFonts w:hint="eastAsia"/>
        </w:rPr>
      </w:pPr>
      <w:r>
        <w:rPr>
          <w:rFonts w:hint="eastAsia"/>
        </w:rPr>
        <w:t>　　</w:t>
      </w:r>
      <w:r>
        <w:rPr>
          <w:rFonts w:hint="eastAsia" w:ascii="黑体" w:hAnsi="黑体" w:eastAsia="黑体" w:cs="黑体"/>
        </w:rPr>
        <w:t>第二条</w:t>
      </w:r>
      <w:r>
        <w:rPr>
          <w:rFonts w:hint="eastAsia"/>
        </w:rPr>
        <w:t xml:space="preserve"> </w:t>
      </w:r>
      <w:r>
        <w:rPr>
          <w:rFonts w:hint="eastAsia"/>
          <w:lang w:val="en-US" w:eastAsia="zh-CN"/>
        </w:rPr>
        <w:t xml:space="preserve"> </w:t>
      </w:r>
      <w:r>
        <w:rPr>
          <w:rFonts w:hint="eastAsia"/>
        </w:rPr>
        <w:t>本办法所称农业技术推广，是指通过试验、示范、培训、指导以及咨询服务等方式，把种植业、林业、畜牧业、渔业等的科研成果和实用技术，普及应用于农业生产产前、产中、产后全过程的活动。</w:t>
      </w:r>
    </w:p>
    <w:p>
      <w:pPr>
        <w:rPr>
          <w:rFonts w:hint="eastAsia"/>
        </w:rPr>
      </w:pPr>
      <w:r>
        <w:rPr>
          <w:rFonts w:hint="eastAsia"/>
        </w:rPr>
        <w:t>　　</w:t>
      </w: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 xml:space="preserve"> 本市支持农业技术推广事业发展，坚持依靠科技进步，加快农业科研成果和实用技术的推广应用，发展高产、优质、高效、生态、安全农业。</w:t>
      </w:r>
    </w:p>
    <w:p>
      <w:pPr>
        <w:rPr>
          <w:rFonts w:hint="eastAsia"/>
        </w:rPr>
      </w:pPr>
      <w:r>
        <w:rPr>
          <w:rFonts w:hint="eastAsia"/>
        </w:rPr>
        <w:t>　　</w:t>
      </w:r>
      <w:r>
        <w:rPr>
          <w:rFonts w:hint="eastAsia" w:ascii="黑体" w:hAnsi="黑体" w:eastAsia="黑体" w:cs="黑体"/>
        </w:rPr>
        <w:t>第四条</w:t>
      </w:r>
      <w:r>
        <w:rPr>
          <w:rFonts w:hint="eastAsia"/>
        </w:rPr>
        <w:t xml:space="preserve"> </w:t>
      </w:r>
      <w:r>
        <w:rPr>
          <w:rFonts w:hint="eastAsia"/>
          <w:lang w:val="en-US" w:eastAsia="zh-CN"/>
        </w:rPr>
        <w:t xml:space="preserve"> </w:t>
      </w:r>
      <w:r>
        <w:rPr>
          <w:rFonts w:hint="eastAsia"/>
        </w:rPr>
        <w:t>市和区人民政府应当加强对农业技术推广工作的领导，将农业技术推广工作纳入国民经济和社会发展规划，健全农业技术推广体系，加强基础设施和队伍建设，完善保障机制，促进农业技术推广事业的发展。</w:t>
      </w:r>
    </w:p>
    <w:p>
      <w:pPr>
        <w:rPr>
          <w:rFonts w:hint="eastAsia"/>
        </w:rPr>
      </w:pPr>
      <w:r>
        <w:rPr>
          <w:rFonts w:hint="eastAsia"/>
        </w:rPr>
        <w:t>　　</w:t>
      </w: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 xml:space="preserve"> 市和区农业行政主管部门负责本行政区域内农业技术推广工作的组织协调，并按照职责负责组织实施农业技术推广工作。市和区水务行政主管部门，按照职责负责有关的农业技术推广工作。</w:t>
      </w:r>
    </w:p>
    <w:p>
      <w:pPr>
        <w:rPr>
          <w:rFonts w:hint="eastAsia"/>
        </w:rPr>
      </w:pPr>
      <w:r>
        <w:rPr>
          <w:rFonts w:hint="eastAsia"/>
        </w:rPr>
        <w:t>　　科学技术行政主管部门应当对农业技术推广工作进行指导。</w:t>
      </w:r>
    </w:p>
    <w:p>
      <w:pPr>
        <w:rPr>
          <w:rFonts w:hint="eastAsia"/>
        </w:rPr>
      </w:pPr>
      <w:r>
        <w:rPr>
          <w:rFonts w:hint="eastAsia"/>
        </w:rPr>
        <w:t>　　发展改革、教育、财政、人力社保等行政主管部门，在各自的职责范围内，负责农业技术推广的有关工作。</w:t>
      </w:r>
    </w:p>
    <w:p>
      <w:pPr>
        <w:rPr>
          <w:rFonts w:hint="eastAsia"/>
        </w:rPr>
      </w:pPr>
      <w:r>
        <w:rPr>
          <w:rFonts w:hint="eastAsia"/>
        </w:rPr>
        <w:t>　　</w:t>
      </w:r>
      <w:r>
        <w:rPr>
          <w:rFonts w:hint="eastAsia" w:ascii="黑体" w:hAnsi="黑体" w:eastAsia="黑体" w:cs="黑体"/>
        </w:rPr>
        <w:t>第六条</w:t>
      </w:r>
      <w:r>
        <w:rPr>
          <w:rFonts w:hint="eastAsia"/>
        </w:rPr>
        <w:t xml:space="preserve"> </w:t>
      </w:r>
      <w:r>
        <w:rPr>
          <w:rFonts w:hint="eastAsia"/>
          <w:lang w:val="en-US" w:eastAsia="zh-CN"/>
        </w:rPr>
        <w:t xml:space="preserve"> </w:t>
      </w:r>
      <w:r>
        <w:rPr>
          <w:rFonts w:hint="eastAsia"/>
        </w:rPr>
        <w:t>市和区农业、水务、林业等部门(统称农业技术推广部门)应当根据国民经济和社会发展规划，制定本系统农业技术推广相关规划、计划，指导和协调农业技术推广体系的建设，组织推动农业技术推广工作。</w:t>
      </w:r>
    </w:p>
    <w:p>
      <w:pPr>
        <w:rPr>
          <w:rFonts w:hint="eastAsia"/>
        </w:rPr>
      </w:pPr>
      <w:r>
        <w:rPr>
          <w:rFonts w:hint="eastAsia"/>
        </w:rPr>
        <w:t>　　</w:t>
      </w:r>
      <w:r>
        <w:rPr>
          <w:rFonts w:hint="eastAsia" w:ascii="黑体" w:hAnsi="黑体" w:eastAsia="黑体" w:cs="黑体"/>
        </w:rPr>
        <w:t>第七条</w:t>
      </w:r>
      <w:r>
        <w:rPr>
          <w:rFonts w:hint="eastAsia"/>
        </w:rPr>
        <w:t xml:space="preserve"> </w:t>
      </w:r>
      <w:r>
        <w:rPr>
          <w:rFonts w:hint="eastAsia"/>
          <w:lang w:val="en-US" w:eastAsia="zh-CN"/>
        </w:rPr>
        <w:t xml:space="preserve"> </w:t>
      </w:r>
      <w:r>
        <w:rPr>
          <w:rFonts w:hint="eastAsia"/>
        </w:rPr>
        <w:t>市、区、乡镇国家农业技术推广机构是承担农业、水利、林业等农业技术推广工作的公益性公共服务机构。市和区人民政府应当保证国家农业技术推广机构的稳定和发展。</w:t>
      </w:r>
    </w:p>
    <w:p>
      <w:pPr>
        <w:rPr>
          <w:rFonts w:hint="eastAsia"/>
        </w:rPr>
      </w:pPr>
      <w:r>
        <w:rPr>
          <w:rFonts w:hint="eastAsia"/>
        </w:rPr>
        <w:t>　　</w:t>
      </w:r>
      <w:r>
        <w:rPr>
          <w:rFonts w:hint="eastAsia" w:ascii="黑体" w:hAnsi="黑体" w:eastAsia="黑体" w:cs="黑体"/>
        </w:rPr>
        <w:t>第八条</w:t>
      </w:r>
      <w:r>
        <w:rPr>
          <w:rFonts w:hint="eastAsia"/>
        </w:rPr>
        <w:t xml:space="preserve"> </w:t>
      </w:r>
      <w:r>
        <w:rPr>
          <w:rFonts w:hint="eastAsia"/>
          <w:lang w:val="en-US" w:eastAsia="zh-CN"/>
        </w:rPr>
        <w:t xml:space="preserve"> </w:t>
      </w:r>
      <w:r>
        <w:rPr>
          <w:rFonts w:hint="eastAsia"/>
        </w:rPr>
        <w:t>本市鼓励和支持培养引进农业技术推广人才和农业科技人员、高等院校毕业生到基层从事农业技术推广工作。</w:t>
      </w:r>
    </w:p>
    <w:p>
      <w:pPr>
        <w:rPr>
          <w:rFonts w:hint="eastAsia"/>
        </w:rPr>
      </w:pPr>
      <w:r>
        <w:rPr>
          <w:rFonts w:hint="eastAsia"/>
        </w:rPr>
        <w:t>　　鼓励和支持科技人员研究开发、推广先进农业技术，农业劳动者、农业生产经营组织应用先进农业技术。</w:t>
      </w:r>
    </w:p>
    <w:p>
      <w:pPr>
        <w:rPr>
          <w:rFonts w:hint="eastAsia"/>
        </w:rPr>
      </w:pPr>
      <w:r>
        <w:rPr>
          <w:rFonts w:hint="eastAsia"/>
        </w:rPr>
        <w:t>　　鼓励和支持引进国内外先进的农业技术，促进京津冀地区和国内外农业技术推广的合作与交流。</w:t>
      </w:r>
    </w:p>
    <w:p>
      <w:pPr>
        <w:rPr>
          <w:rFonts w:hint="eastAsia"/>
        </w:rPr>
      </w:pPr>
      <w:r>
        <w:rPr>
          <w:rFonts w:hint="eastAsia"/>
        </w:rPr>
        <w:t>　　</w:t>
      </w:r>
      <w:r>
        <w:rPr>
          <w:rFonts w:hint="eastAsia" w:ascii="黑体" w:hAnsi="黑体" w:eastAsia="黑体" w:cs="黑体"/>
        </w:rPr>
        <w:t>第九条</w:t>
      </w:r>
      <w:r>
        <w:rPr>
          <w:rFonts w:hint="eastAsia"/>
        </w:rPr>
        <w:t xml:space="preserve"> </w:t>
      </w:r>
      <w:r>
        <w:rPr>
          <w:rFonts w:hint="eastAsia"/>
          <w:lang w:val="en-US" w:eastAsia="zh-CN"/>
        </w:rPr>
        <w:t xml:space="preserve"> </w:t>
      </w:r>
      <w:r>
        <w:rPr>
          <w:rFonts w:hint="eastAsia"/>
        </w:rPr>
        <w:t>市和区人民政府对在农业技术推广工作中作出突出成绩的单位和个人，应当给予奖励。</w:t>
      </w:r>
    </w:p>
    <w:p>
      <w:pPr>
        <w:rPr>
          <w:rFonts w:hint="eastAsia"/>
        </w:rPr>
      </w:pPr>
    </w:p>
    <w:p>
      <w:pPr>
        <w:jc w:val="center"/>
        <w:rPr>
          <w:rFonts w:hint="eastAsia" w:ascii="黑体" w:hAnsi="黑体" w:eastAsia="黑体" w:cs="黑体"/>
        </w:rPr>
      </w:pPr>
      <w:r>
        <w:rPr>
          <w:rFonts w:hint="eastAsia" w:ascii="黑体" w:hAnsi="黑体" w:eastAsia="黑体" w:cs="黑体"/>
        </w:rPr>
        <w:t xml:space="preserve">第二章 </w:t>
      </w:r>
      <w:r>
        <w:rPr>
          <w:rFonts w:hint="eastAsia" w:ascii="黑体" w:hAnsi="黑体" w:eastAsia="黑体" w:cs="黑体"/>
          <w:lang w:val="en-US" w:eastAsia="zh-CN"/>
        </w:rPr>
        <w:t xml:space="preserve"> </w:t>
      </w:r>
      <w:r>
        <w:rPr>
          <w:rFonts w:hint="eastAsia" w:ascii="黑体" w:hAnsi="黑体" w:eastAsia="黑体" w:cs="黑体"/>
        </w:rPr>
        <w:t>农业技术推广体系</w:t>
      </w:r>
    </w:p>
    <w:p>
      <w:pPr>
        <w:rPr>
          <w:rFonts w:hint="eastAsia"/>
        </w:rPr>
      </w:pPr>
      <w:r>
        <w:rPr>
          <w:rFonts w:hint="eastAsia"/>
        </w:rPr>
        <w:t>　　</w:t>
      </w:r>
    </w:p>
    <w:p>
      <w:pPr>
        <w:rPr>
          <w:rFonts w:hint="eastAsia"/>
        </w:rPr>
      </w:pPr>
      <w:r>
        <w:rPr>
          <w:rFonts w:hint="eastAsia" w:eastAsia="黑体"/>
          <w:lang w:val="en-US" w:eastAsia="zh-CN"/>
        </w:rPr>
        <w:t xml:space="preserve">    </w:t>
      </w:r>
      <w:r>
        <w:rPr>
          <w:rFonts w:hint="eastAsia" w:ascii="黑体" w:hAnsi="黑体" w:eastAsia="黑体" w:cs="黑体"/>
        </w:rPr>
        <w:t>第十条</w:t>
      </w:r>
      <w:r>
        <w:rPr>
          <w:rFonts w:hint="eastAsia"/>
        </w:rPr>
        <w:t xml:space="preserve"> </w:t>
      </w:r>
      <w:r>
        <w:rPr>
          <w:rFonts w:hint="eastAsia"/>
          <w:lang w:val="en-US" w:eastAsia="zh-CN"/>
        </w:rPr>
        <w:t xml:space="preserve"> </w:t>
      </w:r>
      <w:r>
        <w:rPr>
          <w:rFonts w:hint="eastAsia"/>
        </w:rPr>
        <w:t>本市农业技术推广实行以各级国家农业技术推广机构为主导，各级国家农业技术推广机构与农业科研单位、高等院校、农民专业合作社、涉农企业、家庭农场以及群众性科技组织、农民技术人员等相结合的农业技术推广体系。</w:t>
      </w:r>
    </w:p>
    <w:p>
      <w:pPr>
        <w:rPr>
          <w:rFonts w:hint="eastAsia"/>
        </w:rPr>
      </w:pPr>
      <w:r>
        <w:rPr>
          <w:rFonts w:hint="eastAsia"/>
        </w:rPr>
        <w:t>　　本市鼓励和支持供销合作社、其他企业事业单位、社会团体以及社会各界的科技人员，开展农业技术推广服务。</w:t>
      </w:r>
    </w:p>
    <w:p>
      <w:pPr>
        <w:rPr>
          <w:rFonts w:hint="eastAsia"/>
        </w:rPr>
      </w:pPr>
      <w:r>
        <w:rPr>
          <w:rFonts w:hint="eastAsia"/>
        </w:rPr>
        <w:t>　　</w:t>
      </w:r>
      <w:r>
        <w:rPr>
          <w:rFonts w:hint="eastAsia" w:ascii="黑体" w:hAnsi="黑体" w:eastAsia="黑体" w:cs="黑体"/>
        </w:rPr>
        <w:t>第十一条</w:t>
      </w:r>
      <w:r>
        <w:rPr>
          <w:rFonts w:hint="eastAsia"/>
        </w:rPr>
        <w:t xml:space="preserve"> </w:t>
      </w:r>
      <w:r>
        <w:rPr>
          <w:rFonts w:hint="eastAsia"/>
          <w:lang w:val="en-US" w:eastAsia="zh-CN"/>
        </w:rPr>
        <w:t xml:space="preserve"> </w:t>
      </w:r>
      <w:r>
        <w:rPr>
          <w:rFonts w:hint="eastAsia"/>
        </w:rPr>
        <w:t>各级国家农业技术推广机构应当履行下列职责：</w:t>
      </w:r>
    </w:p>
    <w:p>
      <w:pPr>
        <w:rPr>
          <w:rFonts w:hint="eastAsia"/>
        </w:rPr>
      </w:pPr>
      <w:r>
        <w:rPr>
          <w:rFonts w:hint="eastAsia"/>
        </w:rPr>
        <w:t>　　(一)市和区人民政府确定的关键农业技术的引进、试验、示范；</w:t>
      </w:r>
    </w:p>
    <w:p>
      <w:pPr>
        <w:rPr>
          <w:rFonts w:hint="eastAsia"/>
        </w:rPr>
      </w:pPr>
      <w:r>
        <w:rPr>
          <w:rFonts w:hint="eastAsia"/>
        </w:rPr>
        <w:t>　　(二)绿色、环保、可持续农业技术的推广；</w:t>
      </w:r>
    </w:p>
    <w:p>
      <w:pPr>
        <w:rPr>
          <w:rFonts w:hint="eastAsia"/>
        </w:rPr>
      </w:pPr>
      <w:r>
        <w:rPr>
          <w:rFonts w:hint="eastAsia"/>
        </w:rPr>
        <w:t>　　(三)植物病虫害、动物疫病及农业灾害的监测、预报和预防；</w:t>
      </w:r>
    </w:p>
    <w:p>
      <w:pPr>
        <w:rPr>
          <w:rFonts w:hint="eastAsia"/>
        </w:rPr>
      </w:pPr>
      <w:r>
        <w:rPr>
          <w:rFonts w:hint="eastAsia"/>
        </w:rPr>
        <w:t>　　(四)农产品质量的检验、检测、监测服务，协助做好农产品质量安全工作；</w:t>
      </w:r>
    </w:p>
    <w:p>
      <w:pPr>
        <w:rPr>
          <w:rFonts w:hint="eastAsia"/>
        </w:rPr>
      </w:pPr>
      <w:r>
        <w:rPr>
          <w:rFonts w:hint="eastAsia"/>
        </w:rPr>
        <w:t>　　(五)农产品生产过程中的检验、检测、监测咨询技术服务；</w:t>
      </w:r>
    </w:p>
    <w:p>
      <w:pPr>
        <w:rPr>
          <w:rFonts w:hint="eastAsia"/>
        </w:rPr>
      </w:pPr>
      <w:r>
        <w:rPr>
          <w:rFonts w:hint="eastAsia"/>
        </w:rPr>
        <w:t>　　(六)农业资源、森林资源、农业生态安全和农业投入品使用的监测服务；</w:t>
      </w:r>
    </w:p>
    <w:p>
      <w:pPr>
        <w:rPr>
          <w:rFonts w:hint="eastAsia"/>
        </w:rPr>
      </w:pPr>
      <w:r>
        <w:rPr>
          <w:rFonts w:hint="eastAsia"/>
        </w:rPr>
        <w:t>　　(七)水资源管理、防汛抗旱和农田水利建设技术服务；</w:t>
      </w:r>
    </w:p>
    <w:p>
      <w:pPr>
        <w:rPr>
          <w:rFonts w:hint="eastAsia"/>
        </w:rPr>
      </w:pPr>
      <w:r>
        <w:rPr>
          <w:rFonts w:hint="eastAsia"/>
        </w:rPr>
        <w:t>　　(八)农业公共信息和农业技术宣传教育、培训服务；</w:t>
      </w:r>
    </w:p>
    <w:p>
      <w:pPr>
        <w:rPr>
          <w:rFonts w:hint="eastAsia"/>
        </w:rPr>
      </w:pPr>
      <w:r>
        <w:rPr>
          <w:rFonts w:hint="eastAsia"/>
        </w:rPr>
        <w:t>　　(九)对下级国家农业技术推广机构实行业务指导；</w:t>
      </w:r>
    </w:p>
    <w:p>
      <w:pPr>
        <w:rPr>
          <w:rFonts w:hint="eastAsia"/>
        </w:rPr>
      </w:pPr>
      <w:r>
        <w:rPr>
          <w:rFonts w:hint="eastAsia"/>
        </w:rPr>
        <w:t>　　(十)法律、法规规定的其他职责。</w:t>
      </w:r>
    </w:p>
    <w:p>
      <w:pPr>
        <w:rPr>
          <w:rFonts w:hint="eastAsia"/>
        </w:rPr>
      </w:pPr>
      <w:r>
        <w:rPr>
          <w:rFonts w:hint="eastAsia"/>
        </w:rPr>
        <w:t>　　</w:t>
      </w:r>
      <w:r>
        <w:rPr>
          <w:rFonts w:hint="eastAsia" w:ascii="黑体" w:hAnsi="黑体" w:eastAsia="黑体" w:cs="黑体"/>
        </w:rPr>
        <w:t>第十二条</w:t>
      </w:r>
      <w:r>
        <w:rPr>
          <w:rFonts w:hint="eastAsia"/>
        </w:rPr>
        <w:t xml:space="preserve"> </w:t>
      </w:r>
      <w:r>
        <w:rPr>
          <w:rFonts w:hint="eastAsia"/>
          <w:lang w:val="en-US" w:eastAsia="zh-CN"/>
        </w:rPr>
        <w:t xml:space="preserve"> </w:t>
      </w:r>
      <w:r>
        <w:rPr>
          <w:rFonts w:hint="eastAsia"/>
        </w:rPr>
        <w:t>各级国家农业技术推广机构应当建立健全岗位责任制，实行绩效管理；建立健全项目管理、人员培训、考核考评、财务管理等制度。</w:t>
      </w:r>
    </w:p>
    <w:p>
      <w:pPr>
        <w:rPr>
          <w:rFonts w:hint="eastAsia"/>
        </w:rPr>
      </w:pPr>
      <w:r>
        <w:rPr>
          <w:rFonts w:hint="eastAsia"/>
        </w:rPr>
        <w:t>　　</w:t>
      </w:r>
      <w:r>
        <w:rPr>
          <w:rFonts w:hint="eastAsia" w:ascii="黑体" w:hAnsi="黑体" w:eastAsia="黑体" w:cs="黑体"/>
        </w:rPr>
        <w:t>第十三条</w:t>
      </w:r>
      <w:r>
        <w:rPr>
          <w:rFonts w:hint="eastAsia"/>
        </w:rPr>
        <w:t xml:space="preserve"> </w:t>
      </w:r>
      <w:r>
        <w:rPr>
          <w:rFonts w:hint="eastAsia"/>
          <w:lang w:val="en-US" w:eastAsia="zh-CN"/>
        </w:rPr>
        <w:t xml:space="preserve"> </w:t>
      </w:r>
      <w:r>
        <w:rPr>
          <w:rFonts w:hint="eastAsia"/>
        </w:rPr>
        <w:t>本市实行区农业技术推广部门统一管理乡镇国家农业技术推广机构的体制。</w:t>
      </w:r>
    </w:p>
    <w:p>
      <w:pPr>
        <w:rPr>
          <w:rFonts w:hint="eastAsia"/>
        </w:rPr>
      </w:pPr>
      <w:r>
        <w:rPr>
          <w:rFonts w:hint="eastAsia"/>
        </w:rPr>
        <w:t>　　区农业技术推广部门对乡镇国家农业技术推广机构的人员和业务经费实施统一管理，其人员的调配、考评和晋升，应当听取所服务区域乡镇人民政府的意见。</w:t>
      </w:r>
    </w:p>
    <w:p>
      <w:pPr>
        <w:rPr>
          <w:rFonts w:hint="eastAsia"/>
        </w:rPr>
      </w:pPr>
      <w:r>
        <w:rPr>
          <w:rFonts w:hint="eastAsia"/>
        </w:rPr>
        <w:t>　　乡镇人民政府应当支持乡镇国家农业技术推广机构开展工作，提供必要的工作条件。</w:t>
      </w:r>
    </w:p>
    <w:p>
      <w:pPr>
        <w:rPr>
          <w:rFonts w:hint="eastAsia"/>
        </w:rPr>
      </w:pPr>
      <w:r>
        <w:rPr>
          <w:rFonts w:hint="eastAsia"/>
        </w:rPr>
        <w:t>　　</w:t>
      </w:r>
      <w:r>
        <w:rPr>
          <w:rFonts w:hint="eastAsia" w:ascii="黑体" w:hAnsi="黑体" w:eastAsia="黑体" w:cs="黑体"/>
        </w:rPr>
        <w:t>第十四条</w:t>
      </w:r>
      <w:r>
        <w:rPr>
          <w:rFonts w:hint="eastAsia"/>
        </w:rPr>
        <w:t xml:space="preserve"> </w:t>
      </w:r>
      <w:r>
        <w:rPr>
          <w:rFonts w:hint="eastAsia"/>
          <w:lang w:val="en-US" w:eastAsia="zh-CN"/>
        </w:rPr>
        <w:t xml:space="preserve"> </w:t>
      </w:r>
      <w:r>
        <w:rPr>
          <w:rFonts w:hint="eastAsia"/>
        </w:rPr>
        <w:t>各级国家农业技术推广机构的岗位设置应当以专业技术岗位为主。市国家农业技术推广机构的专业技术岗位不得低于机构岗位总量的百分之八十，区国家农业技术推广机构的专业技术岗位不得低于机构岗位总量的百分之八十五，乡镇国家农业技术推广机构的岗位应当全部为专业技术岗位。</w:t>
      </w:r>
    </w:p>
    <w:p>
      <w:pPr>
        <w:rPr>
          <w:rFonts w:hint="eastAsia"/>
        </w:rPr>
      </w:pPr>
      <w:r>
        <w:rPr>
          <w:rFonts w:hint="eastAsia"/>
        </w:rPr>
        <w:t>　　各级国家农业技术推广机构应当根据农业生产实际需要配备相关专业人员，并保持各专业人员的合理比例。</w:t>
      </w:r>
    </w:p>
    <w:p>
      <w:pPr>
        <w:rPr>
          <w:rFonts w:hint="eastAsia"/>
        </w:rPr>
      </w:pPr>
      <w:r>
        <w:rPr>
          <w:rFonts w:hint="eastAsia"/>
        </w:rPr>
        <w:t>　　</w:t>
      </w:r>
      <w:r>
        <w:rPr>
          <w:rFonts w:hint="eastAsia" w:ascii="黑体" w:hAnsi="黑体" w:eastAsia="黑体" w:cs="黑体"/>
        </w:rPr>
        <w:t>第十五条</w:t>
      </w:r>
      <w:r>
        <w:rPr>
          <w:rFonts w:hint="eastAsia"/>
        </w:rPr>
        <w:t xml:space="preserve"> </w:t>
      </w:r>
      <w:r>
        <w:rPr>
          <w:rFonts w:hint="eastAsia"/>
          <w:lang w:val="en-US" w:eastAsia="zh-CN"/>
        </w:rPr>
        <w:t xml:space="preserve"> </w:t>
      </w:r>
      <w:r>
        <w:rPr>
          <w:rFonts w:hint="eastAsia"/>
        </w:rPr>
        <w:t>各级国家农业技术推广机构的专业技术人员应当符合岗位职责要求，具有相应的专业技术水平，熟练掌握所推广的农业技术，熟悉农村生产经营情况。</w:t>
      </w:r>
    </w:p>
    <w:p>
      <w:pPr>
        <w:rPr>
          <w:rFonts w:hint="eastAsia"/>
        </w:rPr>
      </w:pPr>
      <w:r>
        <w:rPr>
          <w:rFonts w:hint="eastAsia"/>
        </w:rPr>
        <w:t>　　各级国家农业技术推广机构新聘用的专业技术人员，应当具有全日制大学本科以上相关专业学历，并通过市或者区人民政府有关部门组织的专业技术水平考核。</w:t>
      </w:r>
    </w:p>
    <w:p>
      <w:pPr>
        <w:rPr>
          <w:rFonts w:hint="eastAsia"/>
        </w:rPr>
      </w:pPr>
      <w:r>
        <w:rPr>
          <w:rFonts w:hint="eastAsia"/>
        </w:rPr>
        <w:t>　　</w:t>
      </w:r>
      <w:r>
        <w:rPr>
          <w:rFonts w:hint="eastAsia" w:ascii="黑体" w:hAnsi="黑体" w:eastAsia="黑体" w:cs="黑体"/>
        </w:rPr>
        <w:t>第十六条</w:t>
      </w:r>
      <w:r>
        <w:rPr>
          <w:rFonts w:hint="eastAsia"/>
        </w:rPr>
        <w:t xml:space="preserve"> </w:t>
      </w:r>
      <w:r>
        <w:rPr>
          <w:rFonts w:hint="eastAsia"/>
          <w:lang w:val="en-US" w:eastAsia="zh-CN"/>
        </w:rPr>
        <w:t xml:space="preserve"> </w:t>
      </w:r>
      <w:r>
        <w:rPr>
          <w:rFonts w:hint="eastAsia"/>
        </w:rPr>
        <w:t>村农业技术推广服务组织、农业科技示范户和农民技术人员在各级国家农业技术推广机构的指导下，进行各项农业技术的宣传、示范和推广，为农户提供技术服务。</w:t>
      </w:r>
    </w:p>
    <w:p>
      <w:pPr>
        <w:rPr>
          <w:rFonts w:hint="eastAsia"/>
        </w:rPr>
      </w:pPr>
      <w:r>
        <w:rPr>
          <w:rFonts w:hint="eastAsia"/>
        </w:rPr>
        <w:t>　　村民委员会和村集体经济组织应当推动、帮助村农业技术推广服务组织、农业科技示范户和农民技术人员开展工作。</w:t>
      </w:r>
    </w:p>
    <w:p>
      <w:pPr>
        <w:rPr>
          <w:rFonts w:hint="eastAsia"/>
        </w:rPr>
      </w:pPr>
      <w:r>
        <w:rPr>
          <w:rFonts w:hint="eastAsia"/>
        </w:rPr>
        <w:t>　　</w:t>
      </w:r>
      <w:r>
        <w:rPr>
          <w:rFonts w:hint="eastAsia" w:ascii="黑体" w:hAnsi="黑体" w:eastAsia="黑体" w:cs="黑体"/>
        </w:rPr>
        <w:t>第十七条</w:t>
      </w:r>
      <w:r>
        <w:rPr>
          <w:rFonts w:hint="eastAsia"/>
        </w:rPr>
        <w:t xml:space="preserve"> </w:t>
      </w:r>
      <w:r>
        <w:rPr>
          <w:rFonts w:hint="eastAsia"/>
          <w:lang w:val="en-US" w:eastAsia="zh-CN"/>
        </w:rPr>
        <w:t xml:space="preserve"> </w:t>
      </w:r>
      <w:r>
        <w:rPr>
          <w:rFonts w:hint="eastAsia"/>
        </w:rPr>
        <w:t>本市发挥农业科研单位、高等院校、农民专业合作社和其他企业事业单位、社会组织、个人等社会力量在农业技术推广中的作用，引导其参与农业技术推广服务。</w:t>
      </w:r>
    </w:p>
    <w:p>
      <w:pPr>
        <w:rPr>
          <w:rFonts w:hint="eastAsia"/>
        </w:rPr>
      </w:pPr>
      <w:r>
        <w:rPr>
          <w:rFonts w:hint="eastAsia"/>
        </w:rPr>
        <w:t>　　各级人民政府可以采取购买服务等方式，实施公益性农业技术推广服务。</w:t>
      </w:r>
    </w:p>
    <w:p>
      <w:pPr>
        <w:rPr>
          <w:rFonts w:hint="eastAsia"/>
        </w:rPr>
      </w:pPr>
    </w:p>
    <w:p>
      <w:pPr>
        <w:numPr>
          <w:ilvl w:val="0"/>
          <w:numId w:val="1"/>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农业技术的推广与应用</w:t>
      </w:r>
    </w:p>
    <w:p>
      <w:pPr>
        <w:rPr>
          <w:rFonts w:hint="eastAsia"/>
        </w:rPr>
      </w:pPr>
    </w:p>
    <w:p>
      <w:pPr>
        <w:rPr>
          <w:rFonts w:hint="eastAsia"/>
        </w:rPr>
      </w:pPr>
      <w:r>
        <w:rPr>
          <w:rFonts w:hint="eastAsia"/>
        </w:rPr>
        <w:t>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 xml:space="preserve"> 重大农业技术的推广应当列入市和区相关发展规划、计划，由农业技术推广部门会同科学技术等相关部门按照各自的职责，相互配合，组织实施。</w:t>
      </w:r>
    </w:p>
    <w:p>
      <w:pPr>
        <w:rPr>
          <w:rFonts w:hint="eastAsia"/>
        </w:rPr>
      </w:pPr>
      <w:r>
        <w:rPr>
          <w:rFonts w:hint="eastAsia"/>
        </w:rPr>
        <w:t>　　重大农业技术推广通过确定重点农业技术推广项目实施，列入科技发展计划予以支持。</w:t>
      </w:r>
    </w:p>
    <w:p>
      <w:pPr>
        <w:rPr>
          <w:rFonts w:hint="eastAsia"/>
        </w:rPr>
      </w:pPr>
      <w:r>
        <w:rPr>
          <w:rFonts w:hint="eastAsia"/>
          <w:lang w:val="en-US" w:eastAsia="zh-CN"/>
        </w:rPr>
        <w:t xml:space="preserve">  </w:t>
      </w:r>
      <w:r>
        <w:rPr>
          <w:rFonts w:hint="eastAsia"/>
        </w:rPr>
        <w:t>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 xml:space="preserve"> 向农业劳动者和农业生产经营组织推广的农业技术，必须在推广地区经过试验证明具有先进性、适用性和安全性。</w:t>
      </w:r>
    </w:p>
    <w:p>
      <w:pPr>
        <w:rPr>
          <w:rFonts w:hint="eastAsia"/>
        </w:rPr>
      </w:pPr>
      <w:r>
        <w:rPr>
          <w:rFonts w:hint="eastAsia"/>
        </w:rPr>
        <w:t>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 xml:space="preserve"> 各级国家农业技术推广机构应当利用试验示范基地，通过现场会、科技示范户应用示范带动等多种形式，促进农业新品种、新技术、新装备的普及应用。</w:t>
      </w:r>
    </w:p>
    <w:p>
      <w:pPr>
        <w:rPr>
          <w:rFonts w:hint="eastAsia"/>
        </w:rPr>
      </w:pPr>
      <w:r>
        <w:rPr>
          <w:rFonts w:hint="eastAsia"/>
        </w:rPr>
        <w:t>　　</w:t>
      </w:r>
      <w:r>
        <w:rPr>
          <w:rFonts w:hint="eastAsia" w:ascii="黑体" w:hAnsi="黑体" w:eastAsia="黑体" w:cs="黑体"/>
        </w:rPr>
        <w:t xml:space="preserve">第二十一条 </w:t>
      </w:r>
      <w:r>
        <w:rPr>
          <w:rFonts w:hint="eastAsia" w:ascii="黑体" w:hAnsi="黑体" w:eastAsia="黑体" w:cs="黑体"/>
          <w:lang w:val="en-US" w:eastAsia="zh-CN"/>
        </w:rPr>
        <w:t xml:space="preserve"> </w:t>
      </w:r>
      <w:r>
        <w:rPr>
          <w:rFonts w:hint="eastAsia"/>
        </w:rPr>
        <w:t>各级国家农业技术推广机构应当采取下乡、进村、入户、电话咨询、互联网等多种形式，提供农业技术、政策、信息等推广服务。</w:t>
      </w:r>
    </w:p>
    <w:p>
      <w:pPr>
        <w:rPr>
          <w:rFonts w:hint="eastAsia"/>
        </w:rPr>
      </w:pPr>
      <w:r>
        <w:rPr>
          <w:rFonts w:hint="eastAsia"/>
        </w:rPr>
        <w:t>　　</w:t>
      </w:r>
      <w:r>
        <w:rPr>
          <w:rFonts w:hint="eastAsia" w:ascii="黑体" w:hAnsi="黑体" w:eastAsia="黑体" w:cs="黑体"/>
        </w:rPr>
        <w:t>第二十二条</w:t>
      </w:r>
      <w:r>
        <w:rPr>
          <w:rFonts w:hint="eastAsia"/>
        </w:rPr>
        <w:t xml:space="preserve"> </w:t>
      </w:r>
      <w:r>
        <w:rPr>
          <w:rFonts w:hint="eastAsia"/>
          <w:lang w:val="en-US" w:eastAsia="zh-CN"/>
        </w:rPr>
        <w:t xml:space="preserve"> </w:t>
      </w:r>
      <w:r>
        <w:rPr>
          <w:rFonts w:hint="eastAsia"/>
        </w:rPr>
        <w:t>各级国家农业技术推广机构应当根据农事、农时，采取集中授课、现场观摩、学习培训、远程教育等方式，组织开展农业实用技术培训。</w:t>
      </w:r>
    </w:p>
    <w:p>
      <w:pPr>
        <w:rPr>
          <w:rFonts w:hint="eastAsia"/>
        </w:rPr>
      </w:pPr>
      <w:r>
        <w:rPr>
          <w:rFonts w:hint="eastAsia"/>
        </w:rPr>
        <w:t>　　</w:t>
      </w:r>
      <w:r>
        <w:rPr>
          <w:rFonts w:hint="eastAsia" w:ascii="黑体" w:hAnsi="黑体" w:eastAsia="黑体" w:cs="黑体"/>
        </w:rPr>
        <w:t>第二十三条</w:t>
      </w:r>
      <w:r>
        <w:rPr>
          <w:rFonts w:hint="eastAsia"/>
        </w:rPr>
        <w:t xml:space="preserve"> </w:t>
      </w:r>
      <w:r>
        <w:rPr>
          <w:rFonts w:hint="eastAsia"/>
          <w:lang w:val="en-US" w:eastAsia="zh-CN"/>
        </w:rPr>
        <w:t xml:space="preserve"> </w:t>
      </w:r>
      <w:r>
        <w:rPr>
          <w:rFonts w:hint="eastAsia"/>
        </w:rPr>
        <w:t>本市鼓励和支持农民专业合作社、涉农企业、家庭农场、群众性科技组织和农民技术人员，发挥自身信息、技术、市场等优势，采取多种形式，为农民应用先进农业技术提供服务。</w:t>
      </w:r>
    </w:p>
    <w:p>
      <w:pPr>
        <w:rPr>
          <w:rFonts w:hint="eastAsia"/>
        </w:rPr>
      </w:pPr>
      <w:r>
        <w:rPr>
          <w:rFonts w:hint="eastAsia"/>
        </w:rPr>
        <w:t>　　</w:t>
      </w: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 xml:space="preserve"> 农业科研单位和高等院校应当发挥人才、成果、科研等优势，通过多种形式组织科研人员深入农村，促进农业科研成果的转化。</w:t>
      </w:r>
    </w:p>
    <w:p>
      <w:pPr>
        <w:rPr>
          <w:rFonts w:hint="eastAsia"/>
        </w:rPr>
      </w:pPr>
      <w:r>
        <w:rPr>
          <w:rFonts w:hint="eastAsia"/>
        </w:rPr>
        <w:t>　　农业科研单位和高等院校与各级国家农业技术推广机构应当密切协作，开展技术咨询、技术服务、技术开发，对农业生产中的技术难题联合进行科研攻关。</w:t>
      </w:r>
    </w:p>
    <w:p>
      <w:pPr>
        <w:rPr>
          <w:rFonts w:hint="eastAsia"/>
        </w:rPr>
      </w:pPr>
      <w:r>
        <w:rPr>
          <w:rFonts w:hint="eastAsia"/>
        </w:rPr>
        <w:t>　　</w:t>
      </w: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 xml:space="preserve"> 农业新品种、新技术需要进行审定、登记、评价的，应当依照法律、法规规定的条件和程序进行。</w:t>
      </w:r>
    </w:p>
    <w:p>
      <w:pPr>
        <w:rPr>
          <w:rFonts w:hint="eastAsia"/>
        </w:rPr>
      </w:pPr>
      <w:r>
        <w:rPr>
          <w:rFonts w:hint="eastAsia"/>
        </w:rPr>
        <w:t>　　</w:t>
      </w:r>
      <w:r>
        <w:rPr>
          <w:rFonts w:hint="eastAsia" w:ascii="黑体" w:hAnsi="黑体" w:eastAsia="黑体" w:cs="黑体"/>
        </w:rPr>
        <w:t>第二十六条</w:t>
      </w:r>
      <w:r>
        <w:rPr>
          <w:rFonts w:hint="eastAsia" w:eastAsia="黑体"/>
          <w:lang w:val="en-US" w:eastAsia="zh-CN"/>
        </w:rPr>
        <w:t xml:space="preserve">  </w:t>
      </w:r>
      <w:r>
        <w:rPr>
          <w:rFonts w:hint="eastAsia"/>
        </w:rPr>
        <w:t>本市鼓励具备相应条件的技术评价机构向市场提供农业技术先进性、适用性和安全性评估论证等服务。</w:t>
      </w:r>
    </w:p>
    <w:p>
      <w:pPr>
        <w:rPr>
          <w:rFonts w:hint="eastAsia"/>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 xml:space="preserve"> 农业技术推广的保障措施</w:t>
      </w:r>
    </w:p>
    <w:p>
      <w:pPr>
        <w:rPr>
          <w:rFonts w:hint="eastAsia"/>
        </w:rPr>
      </w:pPr>
      <w:r>
        <w:rPr>
          <w:rFonts w:hint="eastAsia"/>
        </w:rPr>
        <w:t>　　</w:t>
      </w:r>
    </w:p>
    <w:p>
      <w:pPr>
        <w:rPr>
          <w:rFonts w:hint="eastAsia"/>
        </w:rPr>
      </w:pPr>
      <w:r>
        <w:rPr>
          <w:rFonts w:hint="eastAsia" w:eastAsia="黑体"/>
          <w:lang w:val="en-US" w:eastAsia="zh-CN"/>
        </w:rPr>
        <w:t xml:space="preserve">    </w:t>
      </w:r>
      <w:r>
        <w:rPr>
          <w:rFonts w:hint="eastAsia" w:ascii="黑体" w:hAnsi="黑体" w:eastAsia="黑体" w:cs="黑体"/>
        </w:rPr>
        <w:t>第二十七条</w:t>
      </w:r>
      <w:r>
        <w:rPr>
          <w:rFonts w:hint="eastAsia"/>
        </w:rPr>
        <w:t xml:space="preserve"> </w:t>
      </w:r>
      <w:r>
        <w:rPr>
          <w:rFonts w:hint="eastAsia"/>
          <w:lang w:val="en-US" w:eastAsia="zh-CN"/>
        </w:rPr>
        <w:t xml:space="preserve"> </w:t>
      </w:r>
      <w:r>
        <w:rPr>
          <w:rFonts w:hint="eastAsia"/>
        </w:rPr>
        <w:t>市和区人民政府应当将农业技术推广资金纳入本级财政预算，并逐步加大投入，推动农业技术推广工作开展。</w:t>
      </w:r>
    </w:p>
    <w:p>
      <w:pPr>
        <w:rPr>
          <w:rFonts w:hint="eastAsia"/>
        </w:rPr>
      </w:pPr>
      <w:r>
        <w:rPr>
          <w:rFonts w:hint="eastAsia"/>
        </w:rPr>
        <w:t>　　</w:t>
      </w:r>
      <w:r>
        <w:rPr>
          <w:rFonts w:hint="eastAsia" w:ascii="黑体" w:hAnsi="黑体" w:eastAsia="黑体" w:cs="黑体"/>
        </w:rPr>
        <w:t>第二十八条</w:t>
      </w:r>
      <w:r>
        <w:rPr>
          <w:rFonts w:hint="eastAsia"/>
        </w:rPr>
        <w:t xml:space="preserve"> </w:t>
      </w:r>
      <w:r>
        <w:rPr>
          <w:rFonts w:hint="eastAsia"/>
          <w:lang w:val="en-US" w:eastAsia="zh-CN"/>
        </w:rPr>
        <w:t xml:space="preserve"> </w:t>
      </w:r>
      <w:r>
        <w:rPr>
          <w:rFonts w:hint="eastAsia"/>
        </w:rPr>
        <w:t>市人民政府设立农业科技成果转化与推广专项资金，支持农业科技成果转化、农业科技示范推广、农业新品种新技术新装备引进、农业科技合作等项目。</w:t>
      </w:r>
    </w:p>
    <w:p>
      <w:pPr>
        <w:rPr>
          <w:rFonts w:hint="eastAsia"/>
        </w:rPr>
      </w:pPr>
      <w:r>
        <w:rPr>
          <w:rFonts w:hint="eastAsia"/>
        </w:rPr>
        <w:t>　　区人民政府可以结合本区实际设立农业技术推广专项资金。</w:t>
      </w:r>
    </w:p>
    <w:p>
      <w:pPr>
        <w:rPr>
          <w:rFonts w:hint="eastAsia"/>
        </w:rPr>
      </w:pPr>
      <w:r>
        <w:rPr>
          <w:rFonts w:hint="eastAsia"/>
        </w:rPr>
        <w:t>　　</w:t>
      </w:r>
      <w:r>
        <w:rPr>
          <w:rFonts w:hint="eastAsia" w:ascii="黑体" w:hAnsi="黑体" w:eastAsia="黑体" w:cs="黑体"/>
        </w:rPr>
        <w:t>第二十九条</w:t>
      </w:r>
      <w:r>
        <w:rPr>
          <w:rFonts w:hint="eastAsia"/>
        </w:rPr>
        <w:t xml:space="preserve"> </w:t>
      </w:r>
      <w:r>
        <w:rPr>
          <w:rFonts w:hint="eastAsia"/>
          <w:lang w:val="en-US" w:eastAsia="zh-CN"/>
        </w:rPr>
        <w:t xml:space="preserve"> </w:t>
      </w:r>
      <w:r>
        <w:rPr>
          <w:rFonts w:hint="eastAsia"/>
        </w:rPr>
        <w:t>市和区人民政府应当采取措施，保障和改善区、乡镇国家农业技术推广机构专业技术人员的工作条件、生活条件和待遇，并按照国家规定给予补贴，保持国家农业技术推广队伍的稳定，不得安排国家农业技术推广机构的专业技术人员长期从事与农业技术推广无关的工作。</w:t>
      </w:r>
    </w:p>
    <w:p>
      <w:pPr>
        <w:rPr>
          <w:rFonts w:hint="eastAsia"/>
        </w:rPr>
      </w:pPr>
      <w:r>
        <w:rPr>
          <w:rFonts w:hint="eastAsia"/>
        </w:rPr>
        <w:t>　　</w:t>
      </w: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 xml:space="preserve"> 任何单位和个人不得截留或者挪用农业技术推广资金，不得侵占国家农业技术推广机构的试验示范基地、工作用房、仪器设备、生产资料和其他财产。</w:t>
      </w:r>
    </w:p>
    <w:p>
      <w:pPr>
        <w:rPr>
          <w:rFonts w:hint="eastAsia"/>
        </w:rPr>
      </w:pPr>
      <w:r>
        <w:rPr>
          <w:rFonts w:hint="eastAsia"/>
        </w:rPr>
        <w:t>　　</w:t>
      </w:r>
      <w:r>
        <w:rPr>
          <w:rFonts w:hint="eastAsia" w:ascii="黑体" w:hAnsi="黑体" w:eastAsia="黑体" w:cs="黑体"/>
        </w:rPr>
        <w:t>第三十一条</w:t>
      </w:r>
      <w:r>
        <w:rPr>
          <w:rFonts w:hint="eastAsia"/>
        </w:rPr>
        <w:t xml:space="preserve"> </w:t>
      </w:r>
      <w:r>
        <w:rPr>
          <w:rFonts w:hint="eastAsia"/>
          <w:lang w:val="en-US" w:eastAsia="zh-CN"/>
        </w:rPr>
        <w:t xml:space="preserve"> </w:t>
      </w:r>
      <w:r>
        <w:rPr>
          <w:rFonts w:hint="eastAsia"/>
        </w:rPr>
        <w:t>乡镇国家农业技术推广机构人员的职称评定，应当以考核其推广工作的业务技术水平和实绩为主。</w:t>
      </w:r>
    </w:p>
    <w:p>
      <w:pPr>
        <w:rPr>
          <w:rFonts w:hint="eastAsia"/>
        </w:rPr>
      </w:pPr>
      <w:r>
        <w:rPr>
          <w:rFonts w:hint="eastAsia"/>
        </w:rPr>
        <w:t>　　</w:t>
      </w:r>
      <w:r>
        <w:rPr>
          <w:rFonts w:hint="eastAsia" w:ascii="黑体" w:hAnsi="黑体" w:eastAsia="黑体" w:cs="黑体"/>
        </w:rPr>
        <w:t>第三十二条</w:t>
      </w:r>
      <w:r>
        <w:rPr>
          <w:rFonts w:hint="eastAsia"/>
        </w:rPr>
        <w:t xml:space="preserve"> </w:t>
      </w:r>
      <w:r>
        <w:rPr>
          <w:rFonts w:hint="eastAsia"/>
          <w:lang w:val="en-US" w:eastAsia="zh-CN"/>
        </w:rPr>
        <w:t xml:space="preserve"> </w:t>
      </w:r>
      <w:r>
        <w:rPr>
          <w:rFonts w:hint="eastAsia"/>
        </w:rPr>
        <w:t>在乡镇从事农业技术推广工作连续满二十年或者在市和区从事农业技术推广工作连续满三十年的农业科技人员，由市农业技术推广部门颁发荣誉证书给予表彰。</w:t>
      </w:r>
    </w:p>
    <w:p>
      <w:pPr>
        <w:rPr>
          <w:rFonts w:hint="eastAsia"/>
        </w:rPr>
      </w:pPr>
      <w:r>
        <w:rPr>
          <w:rFonts w:hint="eastAsia"/>
        </w:rPr>
        <w:t>　　</w:t>
      </w: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 xml:space="preserve"> 市和区农业技术推广部门及国家农业技术推广机构应当有计划地组织农业技术推广人员的技术培训。培训情况作为对农业技术推广人员考核、聘任、晋升职务的依据。</w:t>
      </w:r>
    </w:p>
    <w:p>
      <w:pPr>
        <w:rPr>
          <w:rFonts w:hint="eastAsia"/>
        </w:rPr>
      </w:pPr>
      <w:r>
        <w:rPr>
          <w:rFonts w:hint="eastAsia"/>
        </w:rPr>
        <w:t>　　</w:t>
      </w: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 xml:space="preserve"> 农民技术人员经考核符合条件的，可以按照有关规定授予相应的技术职称，并发给证书。</w:t>
      </w:r>
    </w:p>
    <w:p>
      <w:pPr>
        <w:rPr>
          <w:rFonts w:hint="eastAsia"/>
        </w:rPr>
      </w:pPr>
      <w:r>
        <w:rPr>
          <w:rFonts w:hint="eastAsia"/>
        </w:rPr>
        <w:t>　　获得技术职称的农民技术人员可以受聘在国家农业技术推广机构从事农业技术推广工作。</w:t>
      </w:r>
    </w:p>
    <w:p>
      <w:pPr>
        <w:rPr>
          <w:rFonts w:hint="eastAsia"/>
        </w:rPr>
      </w:pPr>
      <w:r>
        <w:rPr>
          <w:rFonts w:hint="eastAsia"/>
        </w:rPr>
        <w:t>　　</w:t>
      </w:r>
      <w:r>
        <w:rPr>
          <w:rFonts w:hint="eastAsia" w:ascii="黑体" w:hAnsi="黑体" w:eastAsia="黑体" w:cs="黑体"/>
        </w:rPr>
        <w:t>第三十五条</w:t>
      </w:r>
      <w:r>
        <w:rPr>
          <w:rFonts w:hint="eastAsia"/>
        </w:rPr>
        <w:t xml:space="preserve"> </w:t>
      </w:r>
      <w:r>
        <w:rPr>
          <w:rFonts w:hint="eastAsia"/>
          <w:lang w:val="en-US" w:eastAsia="zh-CN"/>
        </w:rPr>
        <w:t xml:space="preserve"> </w:t>
      </w:r>
      <w:r>
        <w:rPr>
          <w:rFonts w:hint="eastAsia"/>
        </w:rPr>
        <w:t>从事农业技术推广服务活动的单位和个人，可以按照国家和本市规定享受财政扶持、税收、信贷、保险等方面的优惠。</w:t>
      </w:r>
    </w:p>
    <w:p>
      <w:pPr>
        <w:rPr>
          <w:rFonts w:hint="eastAsia"/>
        </w:rPr>
      </w:pPr>
      <w:r>
        <w:rPr>
          <w:rFonts w:hint="eastAsia"/>
        </w:rPr>
        <w:t>　　</w:t>
      </w:r>
      <w:r>
        <w:rPr>
          <w:rFonts w:hint="eastAsia" w:ascii="黑体" w:hAnsi="黑体" w:eastAsia="黑体" w:cs="黑体"/>
        </w:rPr>
        <w:t>第三十六条</w:t>
      </w:r>
      <w:r>
        <w:rPr>
          <w:rFonts w:hint="eastAsia"/>
        </w:rPr>
        <w:t xml:space="preserve"> </w:t>
      </w:r>
      <w:r>
        <w:rPr>
          <w:rFonts w:hint="eastAsia"/>
          <w:lang w:val="en-US" w:eastAsia="zh-CN"/>
        </w:rPr>
        <w:t xml:space="preserve"> </w:t>
      </w:r>
      <w:r>
        <w:rPr>
          <w:rFonts w:hint="eastAsia"/>
        </w:rPr>
        <w:t>市和区农业技术推广部门应当定期对国家农业技术推广机构的农业技术推广效果、效益、效率进行评估，采取相应措施，不断提高农业技术推广水平。</w:t>
      </w:r>
    </w:p>
    <w:p>
      <w:pPr>
        <w:rPr>
          <w:rFonts w:hint="eastAsia"/>
        </w:rPr>
      </w:pPr>
    </w:p>
    <w:p>
      <w:pPr>
        <w:numPr>
          <w:ilvl w:val="0"/>
          <w:numId w:val="2"/>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rPr>
          <w:rFonts w:hint="eastAsia"/>
        </w:rPr>
      </w:pPr>
    </w:p>
    <w:p>
      <w:pPr>
        <w:rPr>
          <w:rFonts w:hint="eastAsia"/>
        </w:rPr>
      </w:pPr>
      <w:r>
        <w:rPr>
          <w:rFonts w:hint="eastAsia"/>
        </w:rPr>
        <w:t>　　</w:t>
      </w:r>
      <w:r>
        <w:rPr>
          <w:rFonts w:hint="eastAsia" w:ascii="黑体" w:hAnsi="黑体" w:eastAsia="黑体" w:cs="黑体"/>
        </w:rPr>
        <w:t>第三十七条</w:t>
      </w:r>
      <w:r>
        <w:rPr>
          <w:rFonts w:hint="eastAsia"/>
        </w:rPr>
        <w:t xml:space="preserve"> </w:t>
      </w:r>
      <w:r>
        <w:rPr>
          <w:rFonts w:hint="eastAsia"/>
          <w:lang w:val="en-US" w:eastAsia="zh-CN"/>
        </w:rPr>
        <w:t xml:space="preserve"> </w:t>
      </w:r>
      <w:r>
        <w:rPr>
          <w:rFonts w:hint="eastAsia"/>
        </w:rPr>
        <w:t>国家农业技术推广机构及其工作人员未依照本办法规定履行职责的，由主管机关责令限期改正，通报批评；对直接负责的主管人员和其他直接责任人员依法给予处分。</w:t>
      </w:r>
    </w:p>
    <w:p>
      <w:pPr>
        <w:rPr>
          <w:rFonts w:hint="eastAsia"/>
        </w:rPr>
      </w:pPr>
      <w:r>
        <w:rPr>
          <w:rFonts w:hint="eastAsia"/>
        </w:rPr>
        <w:t>　　</w:t>
      </w:r>
      <w:r>
        <w:rPr>
          <w:rFonts w:hint="eastAsia" w:ascii="黑体" w:hAnsi="黑体" w:eastAsia="黑体" w:cs="黑体"/>
        </w:rPr>
        <w:t>第三十八条</w:t>
      </w:r>
      <w:r>
        <w:rPr>
          <w:rFonts w:hint="eastAsia"/>
        </w:rPr>
        <w:t xml:space="preserve"> </w:t>
      </w:r>
      <w:r>
        <w:rPr>
          <w:rFonts w:hint="eastAsia"/>
          <w:lang w:val="en-US" w:eastAsia="zh-CN"/>
        </w:rPr>
        <w:t xml:space="preserve"> </w:t>
      </w:r>
      <w:r>
        <w:rPr>
          <w:rFonts w:hint="eastAsia"/>
        </w:rPr>
        <w:t>违反本办法规定，向农业劳动者、农业生产经营组织推广未经试验证明具有先进性、适用性或者安全性的农业技术，造成损失的，应当承担赔偿责任。</w:t>
      </w:r>
    </w:p>
    <w:p>
      <w:pPr>
        <w:rPr>
          <w:rFonts w:hint="eastAsia"/>
        </w:rPr>
      </w:pPr>
      <w:r>
        <w:rPr>
          <w:rFonts w:hint="eastAsia"/>
        </w:rPr>
        <w:t>　　</w:t>
      </w: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 xml:space="preserve"> 违反本办法规定，截留或者挪用农业技术推广资金或者侵占国家农业技术推广机构的试验示范基地、工作用房、仪器设备、生产资料和其他财产的，对直接负责的主管人员和其他直接责任人员依法给予处分，并责令限期退还；构成犯罪的，依法追究刑事责任。</w:t>
      </w:r>
    </w:p>
    <w:p>
      <w:pPr>
        <w:rPr>
          <w:rFonts w:hint="eastAsia"/>
        </w:rPr>
      </w:pP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 xml:space="preserve"> 附则</w:t>
      </w:r>
    </w:p>
    <w:p>
      <w:pPr>
        <w:jc w:val="center"/>
        <w:rPr>
          <w:rFonts w:hint="eastAsia" w:ascii="黑体" w:hAnsi="黑体" w:eastAsia="黑体" w:cs="黑体"/>
        </w:rPr>
      </w:pPr>
    </w:p>
    <w:p>
      <w:pPr>
        <w:rPr>
          <w:rFonts w:hint="eastAsia"/>
        </w:rPr>
      </w:pPr>
      <w:r>
        <w:rPr>
          <w:rFonts w:hint="eastAsia"/>
        </w:rPr>
        <w:t>　　</w:t>
      </w:r>
      <w:r>
        <w:rPr>
          <w:rFonts w:hint="eastAsia" w:ascii="黑体" w:hAnsi="黑体" w:eastAsia="黑体" w:cs="黑体"/>
        </w:rPr>
        <w:t>第四十条</w:t>
      </w:r>
      <w:r>
        <w:rPr>
          <w:rFonts w:hint="eastAsia"/>
        </w:rPr>
        <w:t xml:space="preserve"> </w:t>
      </w:r>
      <w:r>
        <w:rPr>
          <w:rFonts w:hint="eastAsia"/>
          <w:lang w:val="en-US" w:eastAsia="zh-CN"/>
        </w:rPr>
        <w:t xml:space="preserve"> </w:t>
      </w:r>
      <w:r>
        <w:rPr>
          <w:rFonts w:hint="eastAsia"/>
        </w:rPr>
        <w:t>负有农业技术推广职责的街道办事处，参照本办法中乡镇人民政府的有关规定执行。</w:t>
      </w:r>
    </w:p>
    <w:p>
      <w:pPr>
        <w:rPr>
          <w:rFonts w:hint="eastAsia"/>
        </w:rPr>
      </w:pPr>
      <w:r>
        <w:rPr>
          <w:rFonts w:hint="eastAsia"/>
        </w:rPr>
        <w:t>　　</w:t>
      </w:r>
      <w:r>
        <w:rPr>
          <w:rFonts w:hint="eastAsia" w:ascii="黑体" w:hAnsi="黑体" w:eastAsia="黑体" w:cs="黑体"/>
        </w:rPr>
        <w:t>第四十一条</w:t>
      </w:r>
      <w:r>
        <w:rPr>
          <w:rFonts w:hint="eastAsia"/>
        </w:rPr>
        <w:t xml:space="preserve"> </w:t>
      </w:r>
      <w:r>
        <w:rPr>
          <w:rFonts w:hint="eastAsia"/>
          <w:lang w:val="en-US" w:eastAsia="zh-CN"/>
        </w:rPr>
        <w:t xml:space="preserve"> </w:t>
      </w:r>
      <w:r>
        <w:rPr>
          <w:rFonts w:hint="eastAsia"/>
        </w:rPr>
        <w:t>本办法自2017年3月1日起施行。1994年10月18日天津市第十二届人民代表大会常务委员会第十一次会议通过的《天津市实施〈中华人民共和国农业技术推广法〉办法》同时废止。</w:t>
      </w:r>
    </w:p>
    <w:p/>
    <w:sectPr>
      <w:footerReference r:id="rId3" w:type="default"/>
      <w:footerReference r:id="rId4" w:type="even"/>
      <w:pgSz w:w="11907" w:h="16840"/>
      <w:pgMar w:top="2098" w:right="1531" w:bottom="1985" w:left="1531" w:header="153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文星仿宋">
    <w:altName w:val="宋体"/>
    <w:panose1 w:val="00000000000000000000"/>
    <w:charset w:val="86"/>
    <w:family w:val="auto"/>
    <w:pitch w:val="default"/>
    <w:sig w:usb0="00000000" w:usb1="00000000" w:usb2="00000010"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华文宋体">
    <w:altName w:val="宋体"/>
    <w:panose1 w:val="02010600040101010101"/>
    <w:charset w:val="86"/>
    <w:family w:val="auto"/>
    <w:pitch w:val="default"/>
    <w:sig w:usb0="00000000" w:usb1="00000000" w:usb2="00000010" w:usb3="00000000" w:csb0="0004009F"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Adobe 楷体 Std R">
    <w:altName w:val="宋体"/>
    <w:panose1 w:val="00000000000000000000"/>
    <w:charset w:val="86"/>
    <w:family w:val="roman"/>
    <w:pitch w:val="default"/>
    <w:sig w:usb0="00000000" w:usb1="00000000" w:usb2="00000016" w:usb3="00000000" w:csb0="00060007" w:csb1="00000000"/>
  </w:font>
  <w:font w:name="Arial">
    <w:panose1 w:val="020B0604020202020204"/>
    <w:charset w:val="00"/>
    <w:family w:val="swiss"/>
    <w:pitch w:val="default"/>
    <w:sig w:usb0="E0002AFF" w:usb1="C0007843" w:usb2="00000009" w:usb3="00000000" w:csb0="400001FF" w:csb1="FFFF0000"/>
  </w:font>
  <w:font w:name="Adobe 仿宋 Std R">
    <w:altName w:val="仿宋"/>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80F3C52" w:usb2="00000016" w:usb3="00000000" w:csb0="0004001F" w:csb1="00000000"/>
  </w:font>
  <w:font w:name="MS Gothic">
    <w:panose1 w:val="020B0609070205080204"/>
    <w:charset w:val="80"/>
    <w:family w:val="modern"/>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Adobe 黑体 Std R">
    <w:altName w:val="黑体"/>
    <w:panose1 w:val="00000000000000000000"/>
    <w:charset w:val="86"/>
    <w:family w:val="swiss"/>
    <w:pitch w:val="default"/>
    <w:sig w:usb0="00000000" w:usb1="00000000" w:usb2="00000016" w:usb3="00000000" w:csb0="00060007" w:csb1="00000000"/>
  </w:font>
  <w:font w:name="MingLiU_HKSCS">
    <w:panose1 w:val="02020500000000000000"/>
    <w:charset w:val="88"/>
    <w:family w:val="roman"/>
    <w:pitch w:val="default"/>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3051"/>
    </w:sdtPr>
    <w:sdtEndPr>
      <w:rPr>
        <w:sz w:val="28"/>
        <w:szCs w:val="28"/>
      </w:rPr>
    </w:sdtEndPr>
    <w:sdtContent>
      <w:p>
        <w:pPr>
          <w:pStyle w:val="9"/>
          <w:jc w:val="center"/>
        </w:pPr>
        <w:r>
          <w:rPr>
            <w:rFonts w:hint="eastAsia"/>
          </w:rPr>
          <w:t>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247 -</w:t>
        </w:r>
        <w:r>
          <w:rPr>
            <w:sz w:val="28"/>
            <w:szCs w:val="28"/>
          </w:rP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3103"/>
    </w:sdtPr>
    <w:sdtEndPr>
      <w:rPr>
        <w:sz w:val="28"/>
        <w:szCs w:val="28"/>
      </w:rPr>
    </w:sdtEndPr>
    <w:sdtContent>
      <w:p>
        <w:pPr>
          <w:pStyle w:val="9"/>
          <w:ind w:firstLine="360" w:firstLineChars="200"/>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248 -</w:t>
        </w:r>
        <w:r>
          <w:rPr>
            <w:sz w:val="28"/>
            <w:szCs w:val="28"/>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3AA4A"/>
    <w:multiLevelType w:val="singleLevel"/>
    <w:tmpl w:val="5863AA4A"/>
    <w:lvl w:ilvl="0" w:tentative="0">
      <w:start w:val="5"/>
      <w:numFmt w:val="chineseCounting"/>
      <w:suff w:val="space"/>
      <w:lvlText w:val="第%1章"/>
      <w:lvlJc w:val="left"/>
    </w:lvl>
  </w:abstractNum>
  <w:abstractNum w:abstractNumId="1">
    <w:nsid w:val="5863AA85"/>
    <w:multiLevelType w:val="singleLevel"/>
    <w:tmpl w:val="5863AA85"/>
    <w:lvl w:ilvl="0" w:tentative="0">
      <w:start w:val="3"/>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evenAndOddHeaders w:val="1"/>
  <w:drawingGridHorizontalSpacing w:val="158"/>
  <w:drawingGridVerticalSpacing w:val="57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7EA"/>
    <w:rsid w:val="00003073"/>
    <w:rsid w:val="0000478A"/>
    <w:rsid w:val="00007ACF"/>
    <w:rsid w:val="00007B11"/>
    <w:rsid w:val="000143F1"/>
    <w:rsid w:val="000155F8"/>
    <w:rsid w:val="000226A3"/>
    <w:rsid w:val="00023BEF"/>
    <w:rsid w:val="00024B70"/>
    <w:rsid w:val="00026C35"/>
    <w:rsid w:val="00030355"/>
    <w:rsid w:val="00031D50"/>
    <w:rsid w:val="00034B1E"/>
    <w:rsid w:val="00040B96"/>
    <w:rsid w:val="0004154E"/>
    <w:rsid w:val="00043AA3"/>
    <w:rsid w:val="00050D8E"/>
    <w:rsid w:val="000564CF"/>
    <w:rsid w:val="0005691F"/>
    <w:rsid w:val="0006255D"/>
    <w:rsid w:val="000709F5"/>
    <w:rsid w:val="00072020"/>
    <w:rsid w:val="00077EBA"/>
    <w:rsid w:val="00077F29"/>
    <w:rsid w:val="00082DAC"/>
    <w:rsid w:val="00082FE5"/>
    <w:rsid w:val="0008604A"/>
    <w:rsid w:val="00095253"/>
    <w:rsid w:val="00096CFF"/>
    <w:rsid w:val="000A235E"/>
    <w:rsid w:val="000A77E4"/>
    <w:rsid w:val="000B0C77"/>
    <w:rsid w:val="000B6390"/>
    <w:rsid w:val="000C593B"/>
    <w:rsid w:val="000C5D31"/>
    <w:rsid w:val="000C6690"/>
    <w:rsid w:val="000C7703"/>
    <w:rsid w:val="000D00BB"/>
    <w:rsid w:val="000E0798"/>
    <w:rsid w:val="000E4BDA"/>
    <w:rsid w:val="001014B7"/>
    <w:rsid w:val="001020F6"/>
    <w:rsid w:val="00103A99"/>
    <w:rsid w:val="00104AAE"/>
    <w:rsid w:val="001065C5"/>
    <w:rsid w:val="00106CCD"/>
    <w:rsid w:val="001126D4"/>
    <w:rsid w:val="00113FEC"/>
    <w:rsid w:val="00116A49"/>
    <w:rsid w:val="0012284C"/>
    <w:rsid w:val="00124427"/>
    <w:rsid w:val="0012481F"/>
    <w:rsid w:val="00127B57"/>
    <w:rsid w:val="00131B0B"/>
    <w:rsid w:val="001353C0"/>
    <w:rsid w:val="0013596D"/>
    <w:rsid w:val="00135CD7"/>
    <w:rsid w:val="00142596"/>
    <w:rsid w:val="00144C26"/>
    <w:rsid w:val="00147538"/>
    <w:rsid w:val="00151699"/>
    <w:rsid w:val="00151E78"/>
    <w:rsid w:val="00152DAA"/>
    <w:rsid w:val="001536FF"/>
    <w:rsid w:val="0015635C"/>
    <w:rsid w:val="00156665"/>
    <w:rsid w:val="00156A4F"/>
    <w:rsid w:val="00156FDF"/>
    <w:rsid w:val="001704FF"/>
    <w:rsid w:val="001721A6"/>
    <w:rsid w:val="00172A27"/>
    <w:rsid w:val="00174CBE"/>
    <w:rsid w:val="0017508C"/>
    <w:rsid w:val="001756A0"/>
    <w:rsid w:val="00175F13"/>
    <w:rsid w:val="00176820"/>
    <w:rsid w:val="001768F5"/>
    <w:rsid w:val="001775BF"/>
    <w:rsid w:val="00182ACE"/>
    <w:rsid w:val="001834A6"/>
    <w:rsid w:val="00191D42"/>
    <w:rsid w:val="00196536"/>
    <w:rsid w:val="001A2EEE"/>
    <w:rsid w:val="001A2F08"/>
    <w:rsid w:val="001A7A96"/>
    <w:rsid w:val="001B0068"/>
    <w:rsid w:val="001B220F"/>
    <w:rsid w:val="001B2809"/>
    <w:rsid w:val="001B5514"/>
    <w:rsid w:val="001B69B9"/>
    <w:rsid w:val="001C5034"/>
    <w:rsid w:val="001D2957"/>
    <w:rsid w:val="001D2969"/>
    <w:rsid w:val="001D5835"/>
    <w:rsid w:val="001E0396"/>
    <w:rsid w:val="001E2B42"/>
    <w:rsid w:val="001F02C0"/>
    <w:rsid w:val="001F084E"/>
    <w:rsid w:val="001F35DE"/>
    <w:rsid w:val="001F3F5D"/>
    <w:rsid w:val="001F657C"/>
    <w:rsid w:val="002000F1"/>
    <w:rsid w:val="002006B1"/>
    <w:rsid w:val="0020115E"/>
    <w:rsid w:val="0021077F"/>
    <w:rsid w:val="00210A92"/>
    <w:rsid w:val="0021193C"/>
    <w:rsid w:val="00213BE0"/>
    <w:rsid w:val="00213E62"/>
    <w:rsid w:val="00214896"/>
    <w:rsid w:val="002163D0"/>
    <w:rsid w:val="00220673"/>
    <w:rsid w:val="002213A9"/>
    <w:rsid w:val="00222109"/>
    <w:rsid w:val="002247C8"/>
    <w:rsid w:val="00227117"/>
    <w:rsid w:val="002308F3"/>
    <w:rsid w:val="00231CAB"/>
    <w:rsid w:val="0023246A"/>
    <w:rsid w:val="002372B1"/>
    <w:rsid w:val="002435F2"/>
    <w:rsid w:val="00247079"/>
    <w:rsid w:val="00252BBF"/>
    <w:rsid w:val="00254047"/>
    <w:rsid w:val="00254249"/>
    <w:rsid w:val="002568C8"/>
    <w:rsid w:val="00256F11"/>
    <w:rsid w:val="00262995"/>
    <w:rsid w:val="002764DE"/>
    <w:rsid w:val="00280C75"/>
    <w:rsid w:val="00280CE7"/>
    <w:rsid w:val="002842CF"/>
    <w:rsid w:val="00286637"/>
    <w:rsid w:val="002932E9"/>
    <w:rsid w:val="00295099"/>
    <w:rsid w:val="002A01CB"/>
    <w:rsid w:val="002A409C"/>
    <w:rsid w:val="002B3408"/>
    <w:rsid w:val="002B3BB0"/>
    <w:rsid w:val="002B3ED8"/>
    <w:rsid w:val="002C093A"/>
    <w:rsid w:val="002C6411"/>
    <w:rsid w:val="002C6791"/>
    <w:rsid w:val="002D1E66"/>
    <w:rsid w:val="002D3E9E"/>
    <w:rsid w:val="002D4A9E"/>
    <w:rsid w:val="002D5D95"/>
    <w:rsid w:val="002E35D1"/>
    <w:rsid w:val="002E4A17"/>
    <w:rsid w:val="002F04CA"/>
    <w:rsid w:val="002F3ECC"/>
    <w:rsid w:val="00302CFA"/>
    <w:rsid w:val="00305686"/>
    <w:rsid w:val="003111B1"/>
    <w:rsid w:val="00314871"/>
    <w:rsid w:val="00314AD8"/>
    <w:rsid w:val="003158CB"/>
    <w:rsid w:val="00316D03"/>
    <w:rsid w:val="003178C9"/>
    <w:rsid w:val="00322173"/>
    <w:rsid w:val="00322B30"/>
    <w:rsid w:val="00324CEF"/>
    <w:rsid w:val="00327CBF"/>
    <w:rsid w:val="0033586A"/>
    <w:rsid w:val="00335C55"/>
    <w:rsid w:val="00342AC3"/>
    <w:rsid w:val="003455CC"/>
    <w:rsid w:val="00352B2F"/>
    <w:rsid w:val="00354D7F"/>
    <w:rsid w:val="00357F08"/>
    <w:rsid w:val="00366F6D"/>
    <w:rsid w:val="00373B71"/>
    <w:rsid w:val="00374118"/>
    <w:rsid w:val="00375D89"/>
    <w:rsid w:val="003837BE"/>
    <w:rsid w:val="00383ACB"/>
    <w:rsid w:val="00390682"/>
    <w:rsid w:val="00391A1A"/>
    <w:rsid w:val="003930CC"/>
    <w:rsid w:val="00394A75"/>
    <w:rsid w:val="00394E81"/>
    <w:rsid w:val="00395604"/>
    <w:rsid w:val="00397321"/>
    <w:rsid w:val="00397D36"/>
    <w:rsid w:val="003A5B77"/>
    <w:rsid w:val="003A6D28"/>
    <w:rsid w:val="003B4886"/>
    <w:rsid w:val="003C06AA"/>
    <w:rsid w:val="003C18B1"/>
    <w:rsid w:val="003C432E"/>
    <w:rsid w:val="003C73A9"/>
    <w:rsid w:val="003D2777"/>
    <w:rsid w:val="003D2A90"/>
    <w:rsid w:val="003D6214"/>
    <w:rsid w:val="003D7BA6"/>
    <w:rsid w:val="003E0D4A"/>
    <w:rsid w:val="003E2DED"/>
    <w:rsid w:val="003E45D5"/>
    <w:rsid w:val="003E567F"/>
    <w:rsid w:val="003E56C4"/>
    <w:rsid w:val="003E71C6"/>
    <w:rsid w:val="003F44D5"/>
    <w:rsid w:val="003F76A3"/>
    <w:rsid w:val="004022A9"/>
    <w:rsid w:val="00403DB5"/>
    <w:rsid w:val="004058E3"/>
    <w:rsid w:val="00411E01"/>
    <w:rsid w:val="00417DB3"/>
    <w:rsid w:val="00422381"/>
    <w:rsid w:val="0042400D"/>
    <w:rsid w:val="00424CF8"/>
    <w:rsid w:val="00426ED2"/>
    <w:rsid w:val="00430979"/>
    <w:rsid w:val="00431F9B"/>
    <w:rsid w:val="00433C9A"/>
    <w:rsid w:val="0043742C"/>
    <w:rsid w:val="004460FC"/>
    <w:rsid w:val="0044738B"/>
    <w:rsid w:val="0045199D"/>
    <w:rsid w:val="00453532"/>
    <w:rsid w:val="004549E6"/>
    <w:rsid w:val="00455259"/>
    <w:rsid w:val="0046103A"/>
    <w:rsid w:val="00463199"/>
    <w:rsid w:val="00463F3A"/>
    <w:rsid w:val="00464018"/>
    <w:rsid w:val="004750A5"/>
    <w:rsid w:val="00475AA5"/>
    <w:rsid w:val="004814FF"/>
    <w:rsid w:val="00481DD5"/>
    <w:rsid w:val="00481EFF"/>
    <w:rsid w:val="00483482"/>
    <w:rsid w:val="004867F1"/>
    <w:rsid w:val="00490729"/>
    <w:rsid w:val="00490994"/>
    <w:rsid w:val="00491E3C"/>
    <w:rsid w:val="00493BE7"/>
    <w:rsid w:val="00494808"/>
    <w:rsid w:val="0049681D"/>
    <w:rsid w:val="004A0938"/>
    <w:rsid w:val="004A14A8"/>
    <w:rsid w:val="004A19BC"/>
    <w:rsid w:val="004A31B5"/>
    <w:rsid w:val="004A4D2A"/>
    <w:rsid w:val="004A50D4"/>
    <w:rsid w:val="004A6264"/>
    <w:rsid w:val="004B0BAD"/>
    <w:rsid w:val="004B0E9B"/>
    <w:rsid w:val="004B2CC5"/>
    <w:rsid w:val="004B71D6"/>
    <w:rsid w:val="004B7817"/>
    <w:rsid w:val="004C00BF"/>
    <w:rsid w:val="004C1801"/>
    <w:rsid w:val="004C4064"/>
    <w:rsid w:val="004C5B62"/>
    <w:rsid w:val="004C7447"/>
    <w:rsid w:val="004D2112"/>
    <w:rsid w:val="004D2504"/>
    <w:rsid w:val="004D54FE"/>
    <w:rsid w:val="004D6D68"/>
    <w:rsid w:val="004E190A"/>
    <w:rsid w:val="004E2ABD"/>
    <w:rsid w:val="004E70E9"/>
    <w:rsid w:val="004F0895"/>
    <w:rsid w:val="004F5050"/>
    <w:rsid w:val="004F57B8"/>
    <w:rsid w:val="00500DB8"/>
    <w:rsid w:val="00502ABE"/>
    <w:rsid w:val="00503829"/>
    <w:rsid w:val="005052C3"/>
    <w:rsid w:val="0050739F"/>
    <w:rsid w:val="005100BF"/>
    <w:rsid w:val="00510A03"/>
    <w:rsid w:val="00511398"/>
    <w:rsid w:val="005163C3"/>
    <w:rsid w:val="0052484E"/>
    <w:rsid w:val="00534FC8"/>
    <w:rsid w:val="00535711"/>
    <w:rsid w:val="005415EA"/>
    <w:rsid w:val="00541C74"/>
    <w:rsid w:val="0054495B"/>
    <w:rsid w:val="00544DF4"/>
    <w:rsid w:val="0054665C"/>
    <w:rsid w:val="0054717F"/>
    <w:rsid w:val="005616B1"/>
    <w:rsid w:val="005646BD"/>
    <w:rsid w:val="005656D8"/>
    <w:rsid w:val="00566B1A"/>
    <w:rsid w:val="00576899"/>
    <w:rsid w:val="00584907"/>
    <w:rsid w:val="005957C0"/>
    <w:rsid w:val="005A19E4"/>
    <w:rsid w:val="005B0424"/>
    <w:rsid w:val="005B265F"/>
    <w:rsid w:val="005D78EB"/>
    <w:rsid w:val="005E0361"/>
    <w:rsid w:val="005E2EDB"/>
    <w:rsid w:val="005E3C72"/>
    <w:rsid w:val="005E5A93"/>
    <w:rsid w:val="005F21CE"/>
    <w:rsid w:val="005F24D9"/>
    <w:rsid w:val="005F30B2"/>
    <w:rsid w:val="005F3AB8"/>
    <w:rsid w:val="005F437A"/>
    <w:rsid w:val="005F47C0"/>
    <w:rsid w:val="005F604B"/>
    <w:rsid w:val="006023CD"/>
    <w:rsid w:val="00603E67"/>
    <w:rsid w:val="00604DA9"/>
    <w:rsid w:val="00614B3C"/>
    <w:rsid w:val="00617EE8"/>
    <w:rsid w:val="00625433"/>
    <w:rsid w:val="00635E9A"/>
    <w:rsid w:val="0064107D"/>
    <w:rsid w:val="00645137"/>
    <w:rsid w:val="006508BF"/>
    <w:rsid w:val="006567A6"/>
    <w:rsid w:val="00662329"/>
    <w:rsid w:val="006647B5"/>
    <w:rsid w:val="00665B8B"/>
    <w:rsid w:val="00674BD7"/>
    <w:rsid w:val="00680022"/>
    <w:rsid w:val="00682F0E"/>
    <w:rsid w:val="00685294"/>
    <w:rsid w:val="006917BE"/>
    <w:rsid w:val="0069229A"/>
    <w:rsid w:val="00693F58"/>
    <w:rsid w:val="006951E1"/>
    <w:rsid w:val="00696148"/>
    <w:rsid w:val="006A1FD9"/>
    <w:rsid w:val="006A24D9"/>
    <w:rsid w:val="006A2BC4"/>
    <w:rsid w:val="006A2E4A"/>
    <w:rsid w:val="006A3EFD"/>
    <w:rsid w:val="006A4213"/>
    <w:rsid w:val="006B3A9E"/>
    <w:rsid w:val="006B5DAC"/>
    <w:rsid w:val="006B6612"/>
    <w:rsid w:val="006B7B67"/>
    <w:rsid w:val="006C1475"/>
    <w:rsid w:val="006C14A6"/>
    <w:rsid w:val="006C14B0"/>
    <w:rsid w:val="006C7348"/>
    <w:rsid w:val="006D435D"/>
    <w:rsid w:val="006D46B3"/>
    <w:rsid w:val="006D6845"/>
    <w:rsid w:val="006D6908"/>
    <w:rsid w:val="006E3532"/>
    <w:rsid w:val="006E3E4F"/>
    <w:rsid w:val="006E4A18"/>
    <w:rsid w:val="006F0252"/>
    <w:rsid w:val="006F3A94"/>
    <w:rsid w:val="006F3B9E"/>
    <w:rsid w:val="006F3E4A"/>
    <w:rsid w:val="006F68DA"/>
    <w:rsid w:val="006F7A12"/>
    <w:rsid w:val="00700C5A"/>
    <w:rsid w:val="0070180E"/>
    <w:rsid w:val="00703B95"/>
    <w:rsid w:val="00704035"/>
    <w:rsid w:val="007041B1"/>
    <w:rsid w:val="00704583"/>
    <w:rsid w:val="007113D8"/>
    <w:rsid w:val="00712483"/>
    <w:rsid w:val="00716F21"/>
    <w:rsid w:val="00717F16"/>
    <w:rsid w:val="0072019F"/>
    <w:rsid w:val="00737EB3"/>
    <w:rsid w:val="007400BF"/>
    <w:rsid w:val="00743F6F"/>
    <w:rsid w:val="00744DAC"/>
    <w:rsid w:val="00744E79"/>
    <w:rsid w:val="00754E61"/>
    <w:rsid w:val="00754FA3"/>
    <w:rsid w:val="0076336C"/>
    <w:rsid w:val="00763A52"/>
    <w:rsid w:val="0076414F"/>
    <w:rsid w:val="007734FD"/>
    <w:rsid w:val="0077737D"/>
    <w:rsid w:val="00781F73"/>
    <w:rsid w:val="007859A0"/>
    <w:rsid w:val="00794596"/>
    <w:rsid w:val="007B1924"/>
    <w:rsid w:val="007B355E"/>
    <w:rsid w:val="007B4CD0"/>
    <w:rsid w:val="007C4005"/>
    <w:rsid w:val="007D1D90"/>
    <w:rsid w:val="007D3297"/>
    <w:rsid w:val="007D3C13"/>
    <w:rsid w:val="007D4284"/>
    <w:rsid w:val="007D4950"/>
    <w:rsid w:val="007D71D4"/>
    <w:rsid w:val="007D79BB"/>
    <w:rsid w:val="007E67A6"/>
    <w:rsid w:val="007E6BD4"/>
    <w:rsid w:val="007F01F1"/>
    <w:rsid w:val="007F6581"/>
    <w:rsid w:val="008020CE"/>
    <w:rsid w:val="0080361A"/>
    <w:rsid w:val="008039F0"/>
    <w:rsid w:val="00806979"/>
    <w:rsid w:val="00811128"/>
    <w:rsid w:val="00813363"/>
    <w:rsid w:val="008150F3"/>
    <w:rsid w:val="00823060"/>
    <w:rsid w:val="00825D9F"/>
    <w:rsid w:val="00827010"/>
    <w:rsid w:val="00831FCD"/>
    <w:rsid w:val="00833277"/>
    <w:rsid w:val="00833608"/>
    <w:rsid w:val="0083654E"/>
    <w:rsid w:val="00836B47"/>
    <w:rsid w:val="00845521"/>
    <w:rsid w:val="00845D64"/>
    <w:rsid w:val="00850825"/>
    <w:rsid w:val="00851242"/>
    <w:rsid w:val="00854CA5"/>
    <w:rsid w:val="00861FBD"/>
    <w:rsid w:val="00862184"/>
    <w:rsid w:val="0086631E"/>
    <w:rsid w:val="00867240"/>
    <w:rsid w:val="00871CF8"/>
    <w:rsid w:val="00873BF5"/>
    <w:rsid w:val="00875793"/>
    <w:rsid w:val="00880924"/>
    <w:rsid w:val="00880A36"/>
    <w:rsid w:val="00880A46"/>
    <w:rsid w:val="00887E29"/>
    <w:rsid w:val="0089248A"/>
    <w:rsid w:val="0089414B"/>
    <w:rsid w:val="00895C45"/>
    <w:rsid w:val="008A1D1B"/>
    <w:rsid w:val="008A29DB"/>
    <w:rsid w:val="008B2051"/>
    <w:rsid w:val="008B48B5"/>
    <w:rsid w:val="008C0A65"/>
    <w:rsid w:val="008C0AC4"/>
    <w:rsid w:val="008C0F3C"/>
    <w:rsid w:val="008C3464"/>
    <w:rsid w:val="008D23F7"/>
    <w:rsid w:val="008D361A"/>
    <w:rsid w:val="008D655F"/>
    <w:rsid w:val="008E14F6"/>
    <w:rsid w:val="008E3DDF"/>
    <w:rsid w:val="008E7D08"/>
    <w:rsid w:val="008F3491"/>
    <w:rsid w:val="008F7AFB"/>
    <w:rsid w:val="009003C5"/>
    <w:rsid w:val="0090666C"/>
    <w:rsid w:val="009145E0"/>
    <w:rsid w:val="00914C12"/>
    <w:rsid w:val="00917E27"/>
    <w:rsid w:val="0092141A"/>
    <w:rsid w:val="009230B7"/>
    <w:rsid w:val="009239CD"/>
    <w:rsid w:val="00924A2B"/>
    <w:rsid w:val="00924D9E"/>
    <w:rsid w:val="00931C3F"/>
    <w:rsid w:val="00933C56"/>
    <w:rsid w:val="00937137"/>
    <w:rsid w:val="00942151"/>
    <w:rsid w:val="009460EC"/>
    <w:rsid w:val="00946531"/>
    <w:rsid w:val="00946CFE"/>
    <w:rsid w:val="00947659"/>
    <w:rsid w:val="00950B35"/>
    <w:rsid w:val="009512D1"/>
    <w:rsid w:val="00961462"/>
    <w:rsid w:val="009625C3"/>
    <w:rsid w:val="00962CAE"/>
    <w:rsid w:val="00965F35"/>
    <w:rsid w:val="00966937"/>
    <w:rsid w:val="009673BC"/>
    <w:rsid w:val="00970822"/>
    <w:rsid w:val="00976CE6"/>
    <w:rsid w:val="00981DD9"/>
    <w:rsid w:val="009832C0"/>
    <w:rsid w:val="009869C2"/>
    <w:rsid w:val="00986D20"/>
    <w:rsid w:val="00990D57"/>
    <w:rsid w:val="00991958"/>
    <w:rsid w:val="00995F32"/>
    <w:rsid w:val="009A4C6A"/>
    <w:rsid w:val="009A4DFA"/>
    <w:rsid w:val="009B1329"/>
    <w:rsid w:val="009B19FC"/>
    <w:rsid w:val="009B5229"/>
    <w:rsid w:val="009B6720"/>
    <w:rsid w:val="009B6E56"/>
    <w:rsid w:val="009C096D"/>
    <w:rsid w:val="009C2E8E"/>
    <w:rsid w:val="009C421B"/>
    <w:rsid w:val="009C5493"/>
    <w:rsid w:val="009C6941"/>
    <w:rsid w:val="009D11AB"/>
    <w:rsid w:val="009D1FA9"/>
    <w:rsid w:val="009D2938"/>
    <w:rsid w:val="009E3003"/>
    <w:rsid w:val="009E6B8B"/>
    <w:rsid w:val="009E6C96"/>
    <w:rsid w:val="009F04E2"/>
    <w:rsid w:val="009F25C7"/>
    <w:rsid w:val="009F4AEA"/>
    <w:rsid w:val="009F577C"/>
    <w:rsid w:val="00A004A9"/>
    <w:rsid w:val="00A02DAF"/>
    <w:rsid w:val="00A0462C"/>
    <w:rsid w:val="00A05FF8"/>
    <w:rsid w:val="00A112BB"/>
    <w:rsid w:val="00A12987"/>
    <w:rsid w:val="00A13D4A"/>
    <w:rsid w:val="00A14AF3"/>
    <w:rsid w:val="00A16AF4"/>
    <w:rsid w:val="00A34E52"/>
    <w:rsid w:val="00A4266C"/>
    <w:rsid w:val="00A42685"/>
    <w:rsid w:val="00A43DB9"/>
    <w:rsid w:val="00A4697E"/>
    <w:rsid w:val="00A46CB7"/>
    <w:rsid w:val="00A51AD7"/>
    <w:rsid w:val="00A52C63"/>
    <w:rsid w:val="00A536B1"/>
    <w:rsid w:val="00A54EFD"/>
    <w:rsid w:val="00A55944"/>
    <w:rsid w:val="00A57562"/>
    <w:rsid w:val="00A62E96"/>
    <w:rsid w:val="00A638B2"/>
    <w:rsid w:val="00A65196"/>
    <w:rsid w:val="00A72698"/>
    <w:rsid w:val="00A7780E"/>
    <w:rsid w:val="00A953D5"/>
    <w:rsid w:val="00A95D33"/>
    <w:rsid w:val="00A96FC4"/>
    <w:rsid w:val="00A9781A"/>
    <w:rsid w:val="00AA0DE9"/>
    <w:rsid w:val="00AA25B2"/>
    <w:rsid w:val="00AA3ABC"/>
    <w:rsid w:val="00AA4F71"/>
    <w:rsid w:val="00AA5010"/>
    <w:rsid w:val="00AA7745"/>
    <w:rsid w:val="00AB39CF"/>
    <w:rsid w:val="00AB46DB"/>
    <w:rsid w:val="00AB49CF"/>
    <w:rsid w:val="00AC48C6"/>
    <w:rsid w:val="00AC6E81"/>
    <w:rsid w:val="00AD0C71"/>
    <w:rsid w:val="00AD5009"/>
    <w:rsid w:val="00AD616F"/>
    <w:rsid w:val="00AE2ABE"/>
    <w:rsid w:val="00AE3822"/>
    <w:rsid w:val="00AE543C"/>
    <w:rsid w:val="00AE5906"/>
    <w:rsid w:val="00AE74C5"/>
    <w:rsid w:val="00AE7673"/>
    <w:rsid w:val="00AF0ED5"/>
    <w:rsid w:val="00AF2C77"/>
    <w:rsid w:val="00AF366E"/>
    <w:rsid w:val="00AF4CB8"/>
    <w:rsid w:val="00AF5ED8"/>
    <w:rsid w:val="00B04DC1"/>
    <w:rsid w:val="00B0501E"/>
    <w:rsid w:val="00B05357"/>
    <w:rsid w:val="00B069E0"/>
    <w:rsid w:val="00B06AF6"/>
    <w:rsid w:val="00B159D7"/>
    <w:rsid w:val="00B15BC7"/>
    <w:rsid w:val="00B17B1F"/>
    <w:rsid w:val="00B22B88"/>
    <w:rsid w:val="00B23A98"/>
    <w:rsid w:val="00B23FF6"/>
    <w:rsid w:val="00B254E8"/>
    <w:rsid w:val="00B25841"/>
    <w:rsid w:val="00B326B6"/>
    <w:rsid w:val="00B351D2"/>
    <w:rsid w:val="00B410B1"/>
    <w:rsid w:val="00B41B31"/>
    <w:rsid w:val="00B478E6"/>
    <w:rsid w:val="00B531CD"/>
    <w:rsid w:val="00B54160"/>
    <w:rsid w:val="00B57E35"/>
    <w:rsid w:val="00B62307"/>
    <w:rsid w:val="00B6569D"/>
    <w:rsid w:val="00B76593"/>
    <w:rsid w:val="00B80FE5"/>
    <w:rsid w:val="00B82C24"/>
    <w:rsid w:val="00B85867"/>
    <w:rsid w:val="00B85E7C"/>
    <w:rsid w:val="00B90FFE"/>
    <w:rsid w:val="00B932C1"/>
    <w:rsid w:val="00B96E45"/>
    <w:rsid w:val="00B97148"/>
    <w:rsid w:val="00BA078A"/>
    <w:rsid w:val="00BA0C87"/>
    <w:rsid w:val="00BA7C81"/>
    <w:rsid w:val="00BB1485"/>
    <w:rsid w:val="00BB2ABF"/>
    <w:rsid w:val="00BB3944"/>
    <w:rsid w:val="00BB41C3"/>
    <w:rsid w:val="00BC14CC"/>
    <w:rsid w:val="00BC291C"/>
    <w:rsid w:val="00BC3D79"/>
    <w:rsid w:val="00BC56EC"/>
    <w:rsid w:val="00BC7B3E"/>
    <w:rsid w:val="00BD210E"/>
    <w:rsid w:val="00BD29DE"/>
    <w:rsid w:val="00BD3E27"/>
    <w:rsid w:val="00BD583A"/>
    <w:rsid w:val="00BD6364"/>
    <w:rsid w:val="00BE0565"/>
    <w:rsid w:val="00BE2B5A"/>
    <w:rsid w:val="00BE7B0B"/>
    <w:rsid w:val="00BF0319"/>
    <w:rsid w:val="00BF0FBE"/>
    <w:rsid w:val="00BF2F09"/>
    <w:rsid w:val="00BF728C"/>
    <w:rsid w:val="00C0409B"/>
    <w:rsid w:val="00C10918"/>
    <w:rsid w:val="00C10930"/>
    <w:rsid w:val="00C1157C"/>
    <w:rsid w:val="00C134BC"/>
    <w:rsid w:val="00C159D1"/>
    <w:rsid w:val="00C160A3"/>
    <w:rsid w:val="00C165F1"/>
    <w:rsid w:val="00C16EBD"/>
    <w:rsid w:val="00C20443"/>
    <w:rsid w:val="00C21CEA"/>
    <w:rsid w:val="00C23CB2"/>
    <w:rsid w:val="00C2635C"/>
    <w:rsid w:val="00C268F8"/>
    <w:rsid w:val="00C30DF5"/>
    <w:rsid w:val="00C37813"/>
    <w:rsid w:val="00C40592"/>
    <w:rsid w:val="00C41990"/>
    <w:rsid w:val="00C439BB"/>
    <w:rsid w:val="00C4588B"/>
    <w:rsid w:val="00C47E79"/>
    <w:rsid w:val="00C55800"/>
    <w:rsid w:val="00C55938"/>
    <w:rsid w:val="00C6027B"/>
    <w:rsid w:val="00C6545F"/>
    <w:rsid w:val="00C67F31"/>
    <w:rsid w:val="00C72AA6"/>
    <w:rsid w:val="00C7777B"/>
    <w:rsid w:val="00C803FC"/>
    <w:rsid w:val="00C80B3A"/>
    <w:rsid w:val="00C853AC"/>
    <w:rsid w:val="00C85896"/>
    <w:rsid w:val="00C97A39"/>
    <w:rsid w:val="00CA0F1F"/>
    <w:rsid w:val="00CA226E"/>
    <w:rsid w:val="00CA6219"/>
    <w:rsid w:val="00CB0796"/>
    <w:rsid w:val="00CB1767"/>
    <w:rsid w:val="00CB42AE"/>
    <w:rsid w:val="00CC27FE"/>
    <w:rsid w:val="00CC43B2"/>
    <w:rsid w:val="00CC5DDE"/>
    <w:rsid w:val="00CC6C09"/>
    <w:rsid w:val="00CD0485"/>
    <w:rsid w:val="00CD638F"/>
    <w:rsid w:val="00CD6F56"/>
    <w:rsid w:val="00CE00A9"/>
    <w:rsid w:val="00CE0707"/>
    <w:rsid w:val="00CE2003"/>
    <w:rsid w:val="00CE2712"/>
    <w:rsid w:val="00CE34B2"/>
    <w:rsid w:val="00CE5A9D"/>
    <w:rsid w:val="00CF037A"/>
    <w:rsid w:val="00CF2D56"/>
    <w:rsid w:val="00CF4B3F"/>
    <w:rsid w:val="00D000CB"/>
    <w:rsid w:val="00D010E3"/>
    <w:rsid w:val="00D021D4"/>
    <w:rsid w:val="00D106CB"/>
    <w:rsid w:val="00D139BC"/>
    <w:rsid w:val="00D2693D"/>
    <w:rsid w:val="00D27DFC"/>
    <w:rsid w:val="00D27ECD"/>
    <w:rsid w:val="00D30E8F"/>
    <w:rsid w:val="00D321E1"/>
    <w:rsid w:val="00D323D7"/>
    <w:rsid w:val="00D327E5"/>
    <w:rsid w:val="00D345CC"/>
    <w:rsid w:val="00D4066E"/>
    <w:rsid w:val="00D44581"/>
    <w:rsid w:val="00D445DE"/>
    <w:rsid w:val="00D4473A"/>
    <w:rsid w:val="00D45649"/>
    <w:rsid w:val="00D45B33"/>
    <w:rsid w:val="00D475A7"/>
    <w:rsid w:val="00D55CB5"/>
    <w:rsid w:val="00D5779B"/>
    <w:rsid w:val="00D57875"/>
    <w:rsid w:val="00D62746"/>
    <w:rsid w:val="00D65B6F"/>
    <w:rsid w:val="00D67962"/>
    <w:rsid w:val="00D7268E"/>
    <w:rsid w:val="00D75078"/>
    <w:rsid w:val="00D7556B"/>
    <w:rsid w:val="00D761A5"/>
    <w:rsid w:val="00D768A4"/>
    <w:rsid w:val="00D80EE7"/>
    <w:rsid w:val="00D80F29"/>
    <w:rsid w:val="00D84362"/>
    <w:rsid w:val="00D871D3"/>
    <w:rsid w:val="00D872D9"/>
    <w:rsid w:val="00D87349"/>
    <w:rsid w:val="00D876D3"/>
    <w:rsid w:val="00D87AD9"/>
    <w:rsid w:val="00DA0F17"/>
    <w:rsid w:val="00DA3771"/>
    <w:rsid w:val="00DB60F1"/>
    <w:rsid w:val="00DB6109"/>
    <w:rsid w:val="00DB6E43"/>
    <w:rsid w:val="00DC059E"/>
    <w:rsid w:val="00DC0F03"/>
    <w:rsid w:val="00DC38E1"/>
    <w:rsid w:val="00DC3D9A"/>
    <w:rsid w:val="00DC6202"/>
    <w:rsid w:val="00DC6312"/>
    <w:rsid w:val="00DC7389"/>
    <w:rsid w:val="00DC795A"/>
    <w:rsid w:val="00DD32DC"/>
    <w:rsid w:val="00DD3732"/>
    <w:rsid w:val="00DD4A44"/>
    <w:rsid w:val="00DD56C8"/>
    <w:rsid w:val="00DE1403"/>
    <w:rsid w:val="00DE40F3"/>
    <w:rsid w:val="00DE43F3"/>
    <w:rsid w:val="00DE66F6"/>
    <w:rsid w:val="00DF1118"/>
    <w:rsid w:val="00DF40C9"/>
    <w:rsid w:val="00DF53CC"/>
    <w:rsid w:val="00DF5C2F"/>
    <w:rsid w:val="00DF7FFA"/>
    <w:rsid w:val="00E0005E"/>
    <w:rsid w:val="00E026A8"/>
    <w:rsid w:val="00E07351"/>
    <w:rsid w:val="00E1232B"/>
    <w:rsid w:val="00E21917"/>
    <w:rsid w:val="00E2748C"/>
    <w:rsid w:val="00E336B6"/>
    <w:rsid w:val="00E33D5C"/>
    <w:rsid w:val="00E4042D"/>
    <w:rsid w:val="00E424FC"/>
    <w:rsid w:val="00E42747"/>
    <w:rsid w:val="00E4686D"/>
    <w:rsid w:val="00E50189"/>
    <w:rsid w:val="00E50708"/>
    <w:rsid w:val="00E5128D"/>
    <w:rsid w:val="00E55C86"/>
    <w:rsid w:val="00E61A99"/>
    <w:rsid w:val="00E65F45"/>
    <w:rsid w:val="00E73BF1"/>
    <w:rsid w:val="00E80617"/>
    <w:rsid w:val="00E83A7C"/>
    <w:rsid w:val="00E91069"/>
    <w:rsid w:val="00E941AC"/>
    <w:rsid w:val="00EA420D"/>
    <w:rsid w:val="00EB4493"/>
    <w:rsid w:val="00EB45B7"/>
    <w:rsid w:val="00EB65ED"/>
    <w:rsid w:val="00EB6B92"/>
    <w:rsid w:val="00EB752B"/>
    <w:rsid w:val="00EC0291"/>
    <w:rsid w:val="00EC0724"/>
    <w:rsid w:val="00EC0DAF"/>
    <w:rsid w:val="00EC5C31"/>
    <w:rsid w:val="00ED1DEF"/>
    <w:rsid w:val="00ED65E0"/>
    <w:rsid w:val="00ED6F6A"/>
    <w:rsid w:val="00EE0D91"/>
    <w:rsid w:val="00EF2E61"/>
    <w:rsid w:val="00F00FAF"/>
    <w:rsid w:val="00F05DFA"/>
    <w:rsid w:val="00F12DCA"/>
    <w:rsid w:val="00F13136"/>
    <w:rsid w:val="00F13DEB"/>
    <w:rsid w:val="00F13E06"/>
    <w:rsid w:val="00F151D0"/>
    <w:rsid w:val="00F178C2"/>
    <w:rsid w:val="00F205C9"/>
    <w:rsid w:val="00F2126D"/>
    <w:rsid w:val="00F220E8"/>
    <w:rsid w:val="00F26A25"/>
    <w:rsid w:val="00F317E7"/>
    <w:rsid w:val="00F31F14"/>
    <w:rsid w:val="00F33B38"/>
    <w:rsid w:val="00F3758C"/>
    <w:rsid w:val="00F415FB"/>
    <w:rsid w:val="00F431CA"/>
    <w:rsid w:val="00F44B7A"/>
    <w:rsid w:val="00F4794C"/>
    <w:rsid w:val="00F50276"/>
    <w:rsid w:val="00F5077D"/>
    <w:rsid w:val="00F521B7"/>
    <w:rsid w:val="00F5701B"/>
    <w:rsid w:val="00F60399"/>
    <w:rsid w:val="00F6363B"/>
    <w:rsid w:val="00F64066"/>
    <w:rsid w:val="00F647CD"/>
    <w:rsid w:val="00F66FC4"/>
    <w:rsid w:val="00F7084B"/>
    <w:rsid w:val="00F70E6B"/>
    <w:rsid w:val="00F71E47"/>
    <w:rsid w:val="00F72ABC"/>
    <w:rsid w:val="00F7436A"/>
    <w:rsid w:val="00F77B5B"/>
    <w:rsid w:val="00F80599"/>
    <w:rsid w:val="00F81367"/>
    <w:rsid w:val="00F824CB"/>
    <w:rsid w:val="00F873E6"/>
    <w:rsid w:val="00F9395E"/>
    <w:rsid w:val="00F947D3"/>
    <w:rsid w:val="00F95F3E"/>
    <w:rsid w:val="00F963B2"/>
    <w:rsid w:val="00FA237E"/>
    <w:rsid w:val="00FA23A9"/>
    <w:rsid w:val="00FA5A82"/>
    <w:rsid w:val="00FA7AFC"/>
    <w:rsid w:val="00FB13D7"/>
    <w:rsid w:val="00FB2D6D"/>
    <w:rsid w:val="00FB32BD"/>
    <w:rsid w:val="00FB420D"/>
    <w:rsid w:val="00FB596A"/>
    <w:rsid w:val="00FB654E"/>
    <w:rsid w:val="00FC07CA"/>
    <w:rsid w:val="00FC3374"/>
    <w:rsid w:val="00FC4AD2"/>
    <w:rsid w:val="00FD0653"/>
    <w:rsid w:val="00FD7D2E"/>
    <w:rsid w:val="00FE23FC"/>
    <w:rsid w:val="00FF2CE0"/>
    <w:rsid w:val="00FF2DBC"/>
    <w:rsid w:val="00FF3959"/>
    <w:rsid w:val="1BF04392"/>
    <w:rsid w:val="304C2B78"/>
    <w:rsid w:val="5D176CF5"/>
    <w:rsid w:val="770373FB"/>
    <w:rsid w:val="798828C1"/>
    <w:rsid w:val="7B955F4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nhideWhenUsed="0" w:uiPriority="99"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15">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qFormat/>
    <w:uiPriority w:val="0"/>
    <w:pPr>
      <w:shd w:val="clear" w:color="auto" w:fill="000080"/>
    </w:pPr>
    <w:rPr>
      <w:szCs w:val="24"/>
    </w:rPr>
  </w:style>
  <w:style w:type="paragraph" w:styleId="3">
    <w:name w:val="Body Text"/>
    <w:basedOn w:val="1"/>
    <w:link w:val="32"/>
    <w:qFormat/>
    <w:uiPriority w:val="0"/>
    <w:rPr>
      <w:rFonts w:eastAsia="文星仿宋"/>
      <w:szCs w:val="24"/>
    </w:rPr>
  </w:style>
  <w:style w:type="paragraph" w:styleId="4">
    <w:name w:val="Body Text Indent"/>
    <w:basedOn w:val="1"/>
    <w:link w:val="31"/>
    <w:uiPriority w:val="99"/>
    <w:pPr>
      <w:spacing w:after="120"/>
      <w:ind w:left="420" w:leftChars="200"/>
    </w:pPr>
  </w:style>
  <w:style w:type="paragraph" w:styleId="5">
    <w:name w:val="Plain Text"/>
    <w:basedOn w:val="1"/>
    <w:link w:val="37"/>
    <w:uiPriority w:val="0"/>
    <w:rPr>
      <w:rFonts w:ascii="华文宋体" w:hAnsi="华文宋体" w:cs="Courier New"/>
      <w:szCs w:val="21"/>
    </w:rPr>
  </w:style>
  <w:style w:type="paragraph" w:styleId="6">
    <w:name w:val="Date"/>
    <w:basedOn w:val="1"/>
    <w:next w:val="1"/>
    <w:uiPriority w:val="0"/>
    <w:pPr>
      <w:ind w:left="100" w:leftChars="2500"/>
    </w:pPr>
    <w:rPr>
      <w:rFonts w:ascii="仿宋_GB2312"/>
      <w:szCs w:val="32"/>
    </w:rPr>
  </w:style>
  <w:style w:type="paragraph" w:styleId="7">
    <w:name w:val="Body Text Indent 2"/>
    <w:basedOn w:val="1"/>
    <w:link w:val="33"/>
    <w:qFormat/>
    <w:uiPriority w:val="0"/>
    <w:pPr>
      <w:spacing w:after="120" w:line="480" w:lineRule="auto"/>
      <w:ind w:left="420" w:leftChars="200"/>
    </w:pPr>
    <w:rPr>
      <w:rFonts w:eastAsia="华文仿宋"/>
      <w:szCs w:val="32"/>
    </w:rPr>
  </w:style>
  <w:style w:type="paragraph" w:styleId="8">
    <w:name w:val="Balloon Text"/>
    <w:basedOn w:val="1"/>
    <w:link w:val="21"/>
    <w:uiPriority w:val="99"/>
    <w:rPr>
      <w:sz w:val="18"/>
      <w:szCs w:val="18"/>
    </w:rPr>
  </w:style>
  <w:style w:type="paragraph" w:styleId="9">
    <w:name w:val="footer"/>
    <w:basedOn w:val="1"/>
    <w:link w:val="50"/>
    <w:uiPriority w:val="99"/>
    <w:pPr>
      <w:widowControl/>
      <w:tabs>
        <w:tab w:val="center" w:pos="4153"/>
        <w:tab w:val="right" w:pos="8306"/>
      </w:tabs>
      <w:snapToGrid w:val="0"/>
      <w:jc w:val="left"/>
    </w:pPr>
    <w:rPr>
      <w:rFonts w:ascii="宋体" w:hAnsi="宋体" w:cs="宋体"/>
      <w:sz w:val="18"/>
      <w:szCs w:val="18"/>
    </w:rPr>
  </w:style>
  <w:style w:type="paragraph" w:styleId="10">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Indent 3"/>
    <w:basedOn w:val="1"/>
    <w:link w:val="52"/>
    <w:uiPriority w:val="99"/>
    <w:pPr>
      <w:spacing w:after="120"/>
      <w:ind w:left="420" w:leftChars="200"/>
    </w:pPr>
    <w:rPr>
      <w:sz w:val="16"/>
      <w:szCs w:val="16"/>
    </w:rPr>
  </w:style>
  <w:style w:type="paragraph" w:styleId="12">
    <w:name w:val="Body Text 2"/>
    <w:basedOn w:val="1"/>
    <w:link w:val="25"/>
    <w:qFormat/>
    <w:uiPriority w:val="0"/>
    <w:pPr>
      <w:spacing w:after="120" w:line="480" w:lineRule="auto"/>
    </w:pPr>
    <w:rPr>
      <w:szCs w:val="24"/>
    </w:rPr>
  </w:style>
  <w:style w:type="paragraph" w:styleId="13">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link w:val="23"/>
    <w:uiPriority w:val="99"/>
    <w:pPr>
      <w:widowControl/>
      <w:spacing w:before="100" w:beforeAutospacing="1" w:after="100" w:afterAutospacing="1"/>
      <w:jc w:val="left"/>
    </w:pPr>
    <w:rPr>
      <w:rFonts w:ascii="宋体" w:hAnsi="宋体" w:cs="宋体"/>
      <w:sz w:val="24"/>
      <w:szCs w:val="24"/>
    </w:rPr>
  </w:style>
  <w:style w:type="character" w:styleId="16">
    <w:name w:val="Strong"/>
    <w:basedOn w:val="15"/>
    <w:qFormat/>
    <w:uiPriority w:val="22"/>
    <w:rPr>
      <w:b/>
      <w:bCs/>
    </w:rPr>
  </w:style>
  <w:style w:type="character" w:styleId="17">
    <w:name w:val="page number"/>
    <w:basedOn w:val="15"/>
    <w:qFormat/>
    <w:uiPriority w:val="0"/>
  </w:style>
  <w:style w:type="character" w:styleId="18">
    <w:name w:val="Emphasis"/>
    <w:basedOn w:val="15"/>
    <w:qFormat/>
    <w:uiPriority w:val="0"/>
    <w:rPr>
      <w:color w:val="CC0000"/>
    </w:rPr>
  </w:style>
  <w:style w:type="character" w:styleId="19">
    <w:name w:val="Hyperlink"/>
    <w:basedOn w:val="15"/>
    <w:qFormat/>
    <w:uiPriority w:val="99"/>
    <w:rPr>
      <w:color w:val="0000FF"/>
      <w:u w:val="single"/>
    </w:rPr>
  </w:style>
  <w:style w:type="character" w:customStyle="1" w:styleId="21">
    <w:name w:val="批注框文本 Char"/>
    <w:basedOn w:val="15"/>
    <w:link w:val="8"/>
    <w:qFormat/>
    <w:uiPriority w:val="99"/>
    <w:rPr>
      <w:rFonts w:ascii="Times New Roman" w:hAnsi="Times New Roman" w:eastAsia="仿宋_GB2312"/>
      <w:kern w:val="2"/>
      <w:sz w:val="18"/>
      <w:szCs w:val="18"/>
    </w:rPr>
  </w:style>
  <w:style w:type="character" w:customStyle="1" w:styleId="22">
    <w:name w:val="标题2 Char Char"/>
    <w:basedOn w:val="23"/>
    <w:link w:val="24"/>
    <w:qFormat/>
    <w:uiPriority w:val="0"/>
    <w:rPr>
      <w:rFonts w:ascii="楷体_GB2312" w:eastAsia="楷体_GB2312"/>
      <w:bCs/>
      <w:smallCaps/>
      <w:color w:val="000000"/>
      <w:sz w:val="32"/>
      <w:szCs w:val="32"/>
    </w:rPr>
  </w:style>
  <w:style w:type="character" w:customStyle="1" w:styleId="23">
    <w:name w:val="普通(网站) Char"/>
    <w:basedOn w:val="15"/>
    <w:link w:val="14"/>
    <w:qFormat/>
    <w:uiPriority w:val="99"/>
    <w:rPr>
      <w:rFonts w:ascii="宋体" w:hAnsi="宋体" w:cs="宋体"/>
      <w:sz w:val="24"/>
      <w:szCs w:val="24"/>
    </w:rPr>
  </w:style>
  <w:style w:type="paragraph" w:customStyle="1" w:styleId="24">
    <w:name w:val="标题2"/>
    <w:basedOn w:val="14"/>
    <w:link w:val="22"/>
    <w:qFormat/>
    <w:uiPriority w:val="0"/>
    <w:pPr>
      <w:widowControl w:val="0"/>
      <w:adjustRightInd w:val="0"/>
      <w:snapToGrid w:val="0"/>
      <w:jc w:val="center"/>
    </w:pPr>
    <w:rPr>
      <w:rFonts w:ascii="楷体_GB2312" w:eastAsia="楷体_GB2312"/>
      <w:bCs/>
      <w:smallCaps/>
      <w:color w:val="000000"/>
      <w:sz w:val="32"/>
      <w:szCs w:val="32"/>
    </w:rPr>
  </w:style>
  <w:style w:type="character" w:customStyle="1" w:styleId="25">
    <w:name w:val="正文文本 2 Char"/>
    <w:basedOn w:val="15"/>
    <w:link w:val="12"/>
    <w:qFormat/>
    <w:uiPriority w:val="0"/>
    <w:rPr>
      <w:rFonts w:eastAsia="仿宋_GB2312"/>
      <w:kern w:val="2"/>
      <w:sz w:val="32"/>
      <w:szCs w:val="24"/>
      <w:lang w:bidi="ar-SA"/>
    </w:rPr>
  </w:style>
  <w:style w:type="character" w:customStyle="1" w:styleId="26">
    <w:name w:val="样式2 Char Char"/>
    <w:basedOn w:val="15"/>
    <w:link w:val="27"/>
    <w:qFormat/>
    <w:uiPriority w:val="0"/>
    <w:rPr>
      <w:rFonts w:ascii="仿宋_GB2312" w:hAnsi="Times New Roman" w:eastAsia="仿宋_GB2312"/>
      <w:b/>
      <w:bCs/>
      <w:smallCaps/>
      <w:color w:val="000000"/>
      <w:kern w:val="2"/>
      <w:sz w:val="32"/>
      <w:szCs w:val="32"/>
    </w:rPr>
  </w:style>
  <w:style w:type="paragraph" w:customStyle="1" w:styleId="27">
    <w:name w:val="样式2"/>
    <w:basedOn w:val="1"/>
    <w:link w:val="26"/>
    <w:qFormat/>
    <w:uiPriority w:val="0"/>
    <w:rPr>
      <w:rFonts w:ascii="仿宋_GB2312"/>
      <w:b/>
      <w:bCs/>
      <w:smallCaps/>
      <w:color w:val="000000"/>
      <w:szCs w:val="32"/>
    </w:rPr>
  </w:style>
  <w:style w:type="character" w:customStyle="1" w:styleId="28">
    <w:name w:val="纯文本 Char Char"/>
    <w:basedOn w:val="15"/>
    <w:qFormat/>
    <w:uiPriority w:val="0"/>
    <w:rPr>
      <w:rFonts w:ascii="宋体" w:hAnsi="Courier New" w:eastAsia="仿宋_GB2312"/>
      <w:sz w:val="32"/>
      <w:szCs w:val="32"/>
      <w:lang w:val="en-US" w:eastAsia="zh-CN" w:bidi="ar-SA"/>
    </w:rPr>
  </w:style>
  <w:style w:type="character" w:customStyle="1" w:styleId="29">
    <w:name w:val="Char Char8"/>
    <w:basedOn w:val="15"/>
    <w:qFormat/>
    <w:uiPriority w:val="0"/>
    <w:rPr>
      <w:rFonts w:hint="eastAsia" w:ascii="宋体" w:hAnsi="宋体" w:eastAsia="宋体" w:cs="宋体"/>
      <w:sz w:val="24"/>
      <w:szCs w:val="24"/>
      <w:lang w:val="en-US" w:eastAsia="zh-CN" w:bidi="ar-SA"/>
    </w:rPr>
  </w:style>
  <w:style w:type="character" w:customStyle="1" w:styleId="30">
    <w:name w:val="页眉 Char Char"/>
    <w:basedOn w:val="15"/>
    <w:qFormat/>
    <w:uiPriority w:val="0"/>
    <w:rPr>
      <w:kern w:val="2"/>
      <w:sz w:val="18"/>
      <w:szCs w:val="18"/>
    </w:rPr>
  </w:style>
  <w:style w:type="character" w:customStyle="1" w:styleId="31">
    <w:name w:val="正文文本缩进 Char"/>
    <w:basedOn w:val="15"/>
    <w:link w:val="4"/>
    <w:qFormat/>
    <w:uiPriority w:val="0"/>
    <w:rPr>
      <w:rFonts w:ascii="Times New Roman" w:hAnsi="Times New Roman" w:eastAsia="仿宋_GB2312"/>
      <w:kern w:val="2"/>
      <w:sz w:val="32"/>
      <w:szCs w:val="22"/>
    </w:rPr>
  </w:style>
  <w:style w:type="character" w:customStyle="1" w:styleId="32">
    <w:name w:val="正文文本 Char"/>
    <w:basedOn w:val="15"/>
    <w:link w:val="3"/>
    <w:qFormat/>
    <w:uiPriority w:val="0"/>
    <w:rPr>
      <w:rFonts w:ascii="Times New Roman" w:hAnsi="Times New Roman" w:eastAsia="文星仿宋"/>
      <w:kern w:val="2"/>
      <w:sz w:val="32"/>
      <w:szCs w:val="24"/>
    </w:rPr>
  </w:style>
  <w:style w:type="character" w:customStyle="1" w:styleId="33">
    <w:name w:val="正文文本缩进 2 Char"/>
    <w:basedOn w:val="15"/>
    <w:link w:val="7"/>
    <w:qFormat/>
    <w:uiPriority w:val="0"/>
    <w:rPr>
      <w:rFonts w:ascii="Times New Roman" w:hAnsi="Times New Roman" w:eastAsia="华文仿宋"/>
      <w:kern w:val="2"/>
      <w:sz w:val="32"/>
      <w:szCs w:val="32"/>
    </w:rPr>
  </w:style>
  <w:style w:type="character" w:customStyle="1" w:styleId="34">
    <w:name w:val="页眉 Char"/>
    <w:basedOn w:val="15"/>
    <w:link w:val="10"/>
    <w:qFormat/>
    <w:uiPriority w:val="0"/>
    <w:rPr>
      <w:rFonts w:ascii="Times New Roman" w:hAnsi="Times New Roman" w:eastAsia="仿宋_GB2312"/>
      <w:kern w:val="2"/>
      <w:sz w:val="18"/>
      <w:szCs w:val="18"/>
    </w:rPr>
  </w:style>
  <w:style w:type="character" w:customStyle="1" w:styleId="35">
    <w:name w:val="正文文本 Char Char"/>
    <w:basedOn w:val="15"/>
    <w:qFormat/>
    <w:uiPriority w:val="0"/>
    <w:rPr>
      <w:rFonts w:eastAsia="仿宋_GB2312"/>
      <w:kern w:val="2"/>
      <w:sz w:val="32"/>
      <w:szCs w:val="24"/>
    </w:rPr>
  </w:style>
  <w:style w:type="character" w:customStyle="1" w:styleId="36">
    <w:name w:val="样式1 Char Char"/>
    <w:basedOn w:val="37"/>
    <w:link w:val="38"/>
    <w:uiPriority w:val="0"/>
    <w:rPr>
      <w:rFonts w:ascii="楷体_GB2312" w:hAnsi="宋体" w:eastAsia="楷体_GB2312" w:cs="宋体"/>
      <w:sz w:val="32"/>
      <w:szCs w:val="32"/>
    </w:rPr>
  </w:style>
  <w:style w:type="character" w:customStyle="1" w:styleId="37">
    <w:name w:val="纯文本 Char"/>
    <w:basedOn w:val="15"/>
    <w:link w:val="5"/>
    <w:qFormat/>
    <w:uiPriority w:val="0"/>
    <w:rPr>
      <w:rFonts w:ascii="华文宋体" w:hAnsi="华文宋体" w:eastAsia="仿宋_GB2312" w:cs="Courier New"/>
      <w:kern w:val="2"/>
      <w:sz w:val="32"/>
      <w:szCs w:val="21"/>
    </w:rPr>
  </w:style>
  <w:style w:type="paragraph" w:customStyle="1" w:styleId="38">
    <w:name w:val="样式1"/>
    <w:basedOn w:val="5"/>
    <w:link w:val="36"/>
    <w:qFormat/>
    <w:uiPriority w:val="0"/>
    <w:pPr>
      <w:ind w:firstLine="632" w:firstLineChars="200"/>
    </w:pPr>
    <w:rPr>
      <w:rFonts w:ascii="楷体_GB2312" w:hAnsi="宋体" w:eastAsia="楷体_GB2312" w:cs="宋体"/>
      <w:szCs w:val="32"/>
    </w:rPr>
  </w:style>
  <w:style w:type="character" w:customStyle="1" w:styleId="39">
    <w:name w:val="标题3 Char Char"/>
    <w:basedOn w:val="37"/>
    <w:link w:val="40"/>
    <w:qFormat/>
    <w:uiPriority w:val="0"/>
    <w:rPr>
      <w:rFonts w:ascii="黑体" w:hAnsi="宋体" w:eastAsia="黑体" w:cs="宋体"/>
      <w:sz w:val="32"/>
      <w:szCs w:val="32"/>
    </w:rPr>
  </w:style>
  <w:style w:type="paragraph" w:customStyle="1" w:styleId="40">
    <w:name w:val="标题3"/>
    <w:basedOn w:val="5"/>
    <w:link w:val="39"/>
    <w:qFormat/>
    <w:uiPriority w:val="0"/>
    <w:pPr>
      <w:ind w:firstLine="632" w:firstLineChars="200"/>
      <w:jc w:val="center"/>
    </w:pPr>
    <w:rPr>
      <w:rFonts w:ascii="黑体" w:hAnsi="宋体" w:eastAsia="黑体" w:cs="宋体"/>
      <w:szCs w:val="32"/>
    </w:rPr>
  </w:style>
  <w:style w:type="character" w:customStyle="1" w:styleId="41">
    <w:name w:val="正文文本缩进 Char Char"/>
    <w:basedOn w:val="15"/>
    <w:qFormat/>
    <w:uiPriority w:val="0"/>
    <w:rPr>
      <w:rFonts w:ascii="仿宋_GB2312" w:eastAsia="仿宋_GB2312"/>
      <w:kern w:val="2"/>
      <w:sz w:val="32"/>
      <w:szCs w:val="32"/>
    </w:rPr>
  </w:style>
  <w:style w:type="character" w:customStyle="1" w:styleId="42">
    <w:name w:val="Char Char7"/>
    <w:basedOn w:val="15"/>
    <w:qFormat/>
    <w:uiPriority w:val="0"/>
    <w:rPr>
      <w:rFonts w:hint="eastAsia" w:ascii="宋体" w:hAnsi="Courier New" w:eastAsia="宋体" w:cs="Courier New"/>
      <w:kern w:val="2"/>
      <w:sz w:val="21"/>
      <w:szCs w:val="21"/>
      <w:lang w:val="en-US" w:eastAsia="zh-CN" w:bidi="ar-SA"/>
    </w:rPr>
  </w:style>
  <w:style w:type="character" w:customStyle="1" w:styleId="43">
    <w:name w:val="日期 Char Char"/>
    <w:basedOn w:val="15"/>
    <w:qFormat/>
    <w:uiPriority w:val="0"/>
    <w:rPr>
      <w:rFonts w:ascii="仿宋_GB2312" w:eastAsia="仿宋_GB2312"/>
      <w:kern w:val="2"/>
      <w:sz w:val="32"/>
      <w:szCs w:val="32"/>
      <w:lang w:val="en-US" w:eastAsia="zh-CN" w:bidi="ar-SA"/>
    </w:rPr>
  </w:style>
  <w:style w:type="character" w:customStyle="1" w:styleId="44">
    <w:name w:val="test1"/>
    <w:basedOn w:val="15"/>
    <w:qFormat/>
    <w:uiPriority w:val="0"/>
    <w:rPr>
      <w:sz w:val="25"/>
      <w:szCs w:val="25"/>
    </w:rPr>
  </w:style>
  <w:style w:type="character" w:customStyle="1" w:styleId="45">
    <w:name w:val="页脚 Char Char"/>
    <w:basedOn w:val="15"/>
    <w:qFormat/>
    <w:uiPriority w:val="0"/>
    <w:rPr>
      <w:rFonts w:eastAsia="仿宋_GB2312"/>
      <w:kern w:val="2"/>
      <w:sz w:val="18"/>
      <w:szCs w:val="18"/>
    </w:rPr>
  </w:style>
  <w:style w:type="character" w:customStyle="1" w:styleId="46">
    <w:name w:val="样式3 Char Char"/>
    <w:basedOn w:val="26"/>
    <w:link w:val="47"/>
    <w:qFormat/>
    <w:uiPriority w:val="0"/>
  </w:style>
  <w:style w:type="paragraph" w:customStyle="1" w:styleId="47">
    <w:name w:val="样式3"/>
    <w:basedOn w:val="27"/>
    <w:link w:val="46"/>
    <w:qFormat/>
    <w:uiPriority w:val="0"/>
  </w:style>
  <w:style w:type="character" w:customStyle="1" w:styleId="48">
    <w:name w:val="HTML 预设格式 Char Char"/>
    <w:basedOn w:val="15"/>
    <w:qFormat/>
    <w:uiPriority w:val="0"/>
    <w:rPr>
      <w:rFonts w:ascii="宋体" w:hAnsi="宋体" w:eastAsia="宋体" w:cs="宋体"/>
      <w:sz w:val="24"/>
      <w:szCs w:val="24"/>
      <w:lang w:val="en-US" w:eastAsia="zh-CN" w:bidi="ar-SA"/>
    </w:rPr>
  </w:style>
  <w:style w:type="character" w:customStyle="1" w:styleId="49">
    <w:name w:val="正文文本缩进 3 Char Char"/>
    <w:basedOn w:val="15"/>
    <w:qFormat/>
    <w:uiPriority w:val="0"/>
    <w:rPr>
      <w:rFonts w:eastAsia="仿宋_GB2312"/>
      <w:kern w:val="2"/>
      <w:sz w:val="32"/>
      <w:szCs w:val="24"/>
    </w:rPr>
  </w:style>
  <w:style w:type="character" w:customStyle="1" w:styleId="50">
    <w:name w:val="页脚 Char"/>
    <w:basedOn w:val="15"/>
    <w:link w:val="9"/>
    <w:qFormat/>
    <w:uiPriority w:val="99"/>
    <w:rPr>
      <w:rFonts w:ascii="宋体" w:hAnsi="宋体" w:cs="宋体"/>
      <w:sz w:val="18"/>
      <w:szCs w:val="18"/>
    </w:rPr>
  </w:style>
  <w:style w:type="character" w:customStyle="1" w:styleId="51">
    <w:name w:val="Char Char4"/>
    <w:basedOn w:val="15"/>
    <w:qFormat/>
    <w:uiPriority w:val="0"/>
    <w:rPr>
      <w:rFonts w:hint="eastAsia" w:ascii="文星仿宋" w:hAnsi="文星仿宋" w:eastAsia="文星仿宋"/>
      <w:kern w:val="2"/>
      <w:sz w:val="32"/>
      <w:szCs w:val="24"/>
      <w:lang w:val="en-US" w:eastAsia="zh-CN" w:bidi="ar-SA"/>
    </w:rPr>
  </w:style>
  <w:style w:type="character" w:customStyle="1" w:styleId="52">
    <w:name w:val="正文文本缩进 3 Char"/>
    <w:basedOn w:val="15"/>
    <w:link w:val="11"/>
    <w:qFormat/>
    <w:uiPriority w:val="0"/>
    <w:rPr>
      <w:rFonts w:ascii="Times New Roman" w:hAnsi="Times New Roman" w:eastAsia="仿宋_GB2312"/>
      <w:kern w:val="2"/>
      <w:sz w:val="16"/>
      <w:szCs w:val="16"/>
    </w:rPr>
  </w:style>
  <w:style w:type="character" w:customStyle="1" w:styleId="53">
    <w:name w:val="标题1 Char Char"/>
    <w:basedOn w:val="23"/>
    <w:link w:val="54"/>
    <w:qFormat/>
    <w:uiPriority w:val="0"/>
    <w:rPr>
      <w:rFonts w:ascii="方正小标宋简体" w:eastAsia="方正小标宋简体"/>
      <w:bCs/>
      <w:smallCaps/>
      <w:color w:val="000000"/>
      <w:sz w:val="32"/>
      <w:szCs w:val="44"/>
      <w:lang w:val="en-US" w:eastAsia="zh-CN" w:bidi="ar-SA"/>
    </w:rPr>
  </w:style>
  <w:style w:type="paragraph" w:customStyle="1" w:styleId="54">
    <w:name w:val="标题1"/>
    <w:basedOn w:val="14"/>
    <w:link w:val="53"/>
    <w:qFormat/>
    <w:uiPriority w:val="0"/>
    <w:pPr>
      <w:spacing w:line="600" w:lineRule="exact"/>
      <w:jc w:val="center"/>
    </w:pPr>
    <w:rPr>
      <w:rFonts w:ascii="方正小标宋简体" w:eastAsia="方正小标宋简体"/>
      <w:bCs/>
      <w:smallCaps/>
      <w:color w:val="000000"/>
      <w:sz w:val="32"/>
      <w:szCs w:val="44"/>
    </w:rPr>
  </w:style>
  <w:style w:type="character" w:customStyle="1" w:styleId="55">
    <w:name w:val="正文文本缩进 2 Char Char"/>
    <w:basedOn w:val="15"/>
    <w:qFormat/>
    <w:uiPriority w:val="0"/>
    <w:rPr>
      <w:rFonts w:eastAsia="仿宋_GB2312"/>
      <w:b/>
      <w:bCs/>
      <w:kern w:val="2"/>
      <w:sz w:val="32"/>
      <w:szCs w:val="24"/>
    </w:rPr>
  </w:style>
  <w:style w:type="paragraph" w:customStyle="1" w:styleId="56">
    <w:name w:val="juzhong"/>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7">
    <w:name w:val="zhang"/>
    <w:basedOn w:val="1"/>
    <w:qFormat/>
    <w:uiPriority w:val="0"/>
    <w:pPr>
      <w:widowControl/>
      <w:spacing w:before="100" w:beforeAutospacing="1" w:after="100" w:afterAutospacing="1"/>
      <w:jc w:val="left"/>
    </w:pPr>
    <w:rPr>
      <w:rFonts w:ascii="宋体" w:hAnsi="宋体" w:eastAsia="宋体" w:cs="宋体"/>
      <w:b/>
      <w:bCs/>
      <w:smallCaps/>
      <w:color w:val="000000"/>
      <w:kern w:val="0"/>
      <w:sz w:val="20"/>
      <w:szCs w:val="20"/>
    </w:rPr>
  </w:style>
  <w:style w:type="paragraph" w:customStyle="1" w:styleId="58">
    <w:name w:val="msonormal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9">
    <w:name w:val="msonormalcxspmiddle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0">
    <w:name w:val="msonormal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1">
    <w:name w:val="msonormal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2">
    <w:name w:val="msoplaintext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3">
    <w:name w:val="msonormalcxspmiddlecxspmiddle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4">
    <w:name w:val="msonormalcxspmiddlecxsplast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5">
    <w:name w:val="msonormalcxspmiddle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6">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67">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Char2"/>
    <w:basedOn w:val="1"/>
    <w:qFormat/>
    <w:uiPriority w:val="0"/>
    <w:rPr>
      <w:rFonts w:ascii="Tahoma" w:hAnsi="Tahoma" w:eastAsia="楷体_GB2312"/>
      <w:sz w:val="24"/>
      <w:szCs w:val="20"/>
    </w:rPr>
  </w:style>
  <w:style w:type="paragraph" w:customStyle="1" w:styleId="69">
    <w:name w:val="msonormalcxspmiddlecxspmiddlecxspmiddle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0">
    <w:name w:val="zhang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1">
    <w:name w:val="List Paragraph"/>
    <w:basedOn w:val="1"/>
    <w:qFormat/>
    <w:uiPriority w:val="0"/>
    <w:pPr>
      <w:ind w:firstLine="420" w:firstLineChars="200"/>
    </w:pPr>
    <w:rPr>
      <w:rFonts w:eastAsia="宋体"/>
      <w:sz w:val="21"/>
      <w:szCs w:val="24"/>
    </w:rPr>
  </w:style>
  <w:style w:type="paragraph" w:customStyle="1" w:styleId="72">
    <w:name w:val="_Style 10"/>
    <w:basedOn w:val="1"/>
    <w:next w:val="14"/>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customStyle="1" w:styleId="73">
    <w:name w:val="msonormalcxspmiddlecxspmiddlecxspmiddle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4">
    <w:name w:val="msoplaintext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5">
    <w:name w:val="msonormalcxspmiddlecxsplast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6">
    <w:name w:val="p1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msonormal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8">
    <w:name w:val="msonormalcxspmiddlecxspmiddle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9">
    <w:name w:val="Char"/>
    <w:basedOn w:val="1"/>
    <w:qFormat/>
    <w:uiPriority w:val="0"/>
    <w:rPr>
      <w:rFonts w:ascii="Tahoma" w:hAnsi="Tahoma" w:eastAsia="宋体"/>
      <w:sz w:val="24"/>
      <w:szCs w:val="32"/>
    </w:rPr>
  </w:style>
  <w:style w:type="paragraph" w:customStyle="1" w:styleId="80">
    <w:name w:val="msonormal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1">
    <w:name w:val="标题1 Char"/>
    <w:basedOn w:val="23"/>
    <w:qFormat/>
    <w:uiPriority w:val="0"/>
    <w:rPr>
      <w:rFonts w:ascii="方正小标宋简体" w:eastAsia="方正小标宋简体"/>
      <w:bCs/>
      <w:smallCaps/>
      <w:color w:val="000000"/>
      <w:sz w:val="32"/>
      <w:szCs w:val="44"/>
      <w:lang w:val="en-US" w:eastAsia="zh-CN" w:bidi="ar-SA"/>
    </w:rPr>
  </w:style>
  <w:style w:type="character" w:customStyle="1" w:styleId="82">
    <w:name w:val="纯文本 Char1"/>
    <w:basedOn w:val="15"/>
    <w:qFormat/>
    <w:uiPriority w:val="0"/>
    <w:rPr>
      <w:rFonts w:ascii="宋体" w:hAnsi="Courier New" w:cs="Courier New"/>
      <w:kern w:val="2"/>
      <w:sz w:val="21"/>
      <w:szCs w:val="21"/>
    </w:rPr>
  </w:style>
  <w:style w:type="character" w:customStyle="1" w:styleId="83">
    <w:name w:val="页脚 Char1"/>
    <w:basedOn w:val="15"/>
    <w:qFormat/>
    <w:uiPriority w:val="99"/>
    <w:rPr>
      <w:rFonts w:ascii="宋体" w:hAnsi="宋体" w:cs="宋体"/>
      <w:sz w:val="18"/>
      <w:szCs w:val="18"/>
    </w:rPr>
  </w:style>
  <w:style w:type="character" w:customStyle="1" w:styleId="84">
    <w:name w:val="标题2 Char"/>
    <w:basedOn w:val="23"/>
    <w:qFormat/>
    <w:uiPriority w:val="0"/>
    <w:rPr>
      <w:rFonts w:ascii="楷体_GB2312" w:eastAsia="楷体_GB2312"/>
      <w:bCs/>
      <w:smallCaps/>
      <w:color w:val="000000"/>
      <w:sz w:val="32"/>
      <w:szCs w:val="32"/>
    </w:rPr>
  </w:style>
  <w:style w:type="character" w:customStyle="1" w:styleId="85">
    <w:name w:val="标题3 Char"/>
    <w:basedOn w:val="82"/>
    <w:qFormat/>
    <w:uiPriority w:val="0"/>
    <w:rPr>
      <w:rFonts w:ascii="黑体" w:hAnsi="宋体" w:eastAsia="黑体" w:cs="宋体"/>
      <w:sz w:val="32"/>
      <w:szCs w:val="32"/>
    </w:rPr>
  </w:style>
  <w:style w:type="character" w:customStyle="1" w:styleId="86">
    <w:name w:val="样式1 Char"/>
    <w:basedOn w:val="82"/>
    <w:qFormat/>
    <w:uiPriority w:val="0"/>
    <w:rPr>
      <w:rFonts w:ascii="楷体_GB2312" w:hAnsi="宋体" w:eastAsia="楷体_GB2312" w:cs="宋体"/>
      <w:sz w:val="32"/>
      <w:szCs w:val="32"/>
    </w:rPr>
  </w:style>
  <w:style w:type="character" w:customStyle="1" w:styleId="87">
    <w:name w:val="样式2 Char"/>
    <w:basedOn w:val="15"/>
    <w:qFormat/>
    <w:uiPriority w:val="0"/>
    <w:rPr>
      <w:rFonts w:ascii="仿宋_GB2312" w:hAnsi="Times New Roman" w:eastAsia="仿宋_GB2312"/>
      <w:b/>
      <w:bCs/>
      <w:smallCaps/>
      <w:color w:val="000000"/>
      <w:kern w:val="2"/>
      <w:sz w:val="32"/>
      <w:szCs w:val="32"/>
    </w:rPr>
  </w:style>
  <w:style w:type="character" w:customStyle="1" w:styleId="88">
    <w:name w:val="样式3 Char"/>
    <w:basedOn w:val="87"/>
    <w:qFormat/>
    <w:uiPriority w:val="0"/>
  </w:style>
  <w:style w:type="character" w:customStyle="1" w:styleId="89">
    <w:name w:val="正文文本 Char1"/>
    <w:basedOn w:val="15"/>
    <w:qFormat/>
    <w:uiPriority w:val="0"/>
    <w:rPr>
      <w:rFonts w:ascii="Times New Roman" w:hAnsi="Times New Roman" w:eastAsia="文星仿宋"/>
      <w:kern w:val="2"/>
      <w:sz w:val="32"/>
      <w:szCs w:val="24"/>
    </w:rPr>
  </w:style>
  <w:style w:type="character" w:customStyle="1" w:styleId="90">
    <w:name w:val="正文文本缩进 3 Char1"/>
    <w:basedOn w:val="15"/>
    <w:semiHidden/>
    <w:qFormat/>
    <w:uiPriority w:val="99"/>
    <w:rPr>
      <w:rFonts w:ascii="Times New Roman" w:hAnsi="Times New Roman" w:eastAsia="仿宋_GB2312"/>
      <w:kern w:val="2"/>
      <w:sz w:val="16"/>
      <w:szCs w:val="16"/>
    </w:rPr>
  </w:style>
  <w:style w:type="character" w:customStyle="1" w:styleId="91">
    <w:name w:val="正文文本缩进 2 Char1"/>
    <w:basedOn w:val="15"/>
    <w:qFormat/>
    <w:uiPriority w:val="0"/>
    <w:rPr>
      <w:rFonts w:ascii="Times New Roman" w:hAnsi="Times New Roman" w:eastAsia="华文仿宋"/>
      <w:kern w:val="2"/>
      <w:sz w:val="32"/>
      <w:szCs w:val="32"/>
    </w:rPr>
  </w:style>
  <w:style w:type="character" w:customStyle="1" w:styleId="92">
    <w:name w:val="正文文本缩进 Char1"/>
    <w:basedOn w:val="15"/>
    <w:semiHidden/>
    <w:qFormat/>
    <w:uiPriority w:val="99"/>
    <w:rPr>
      <w:rFonts w:ascii="Times New Roman" w:hAnsi="Times New Roman" w:eastAsia="仿宋_GB2312"/>
      <w:kern w:val="2"/>
      <w:sz w:val="32"/>
      <w:szCs w:val="22"/>
    </w:rPr>
  </w:style>
  <w:style w:type="character" w:customStyle="1" w:styleId="93">
    <w:name w:val="日期 Char"/>
    <w:basedOn w:val="15"/>
    <w:qFormat/>
    <w:uiPriority w:val="0"/>
    <w:rPr>
      <w:rFonts w:ascii="仿宋_GB2312" w:eastAsia="仿宋_GB2312"/>
      <w:kern w:val="2"/>
      <w:sz w:val="32"/>
      <w:szCs w:val="32"/>
      <w:lang w:val="en-US" w:eastAsia="zh-CN" w:bidi="ar-SA"/>
    </w:rPr>
  </w:style>
  <w:style w:type="character" w:customStyle="1" w:styleId="94">
    <w:name w:val="HTML 预设格式 Char"/>
    <w:basedOn w:val="15"/>
    <w:qFormat/>
    <w:uiPriority w:val="99"/>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5CE8E-564E-4F51-BCF9-A0D17D7BD07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276</Pages>
  <Words>16695</Words>
  <Characters>95166</Characters>
  <Lines>793</Lines>
  <Paragraphs>223</Paragraphs>
  <ScaleCrop>false</ScaleCrop>
  <LinksUpToDate>false</LinksUpToDate>
  <CharactersWithSpaces>111638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2010-12-28T06:01:00Z</dcterms:created>
  <dc:creator>USER</dc:creator>
  <cp:lastModifiedBy>admin</cp:lastModifiedBy>
  <dcterms:modified xsi:type="dcterms:W3CDTF">2016-12-28T12:05:40Z</dcterms:modified>
  <dc:title>出 版 说 明</dc:title>
  <cp:revision>472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