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0012" w:rsidRDefault="00250012">
      <w:pPr>
        <w:pStyle w:val="1"/>
        <w:widowControl/>
        <w:spacing w:before="0" w:beforeAutospacing="0" w:after="0" w:afterAutospacing="0" w:line="570" w:lineRule="exact"/>
        <w:jc w:val="both"/>
        <w:rPr>
          <w:rFonts w:ascii="黑体" w:eastAsia="黑体" w:hAnsi="黑体" w:cs="黑体" w:hint="eastAsia"/>
          <w:b w:val="0"/>
          <w:bCs w:val="0"/>
          <w:sz w:val="32"/>
          <w:szCs w:val="32"/>
        </w:rPr>
      </w:pPr>
    </w:p>
    <w:p w:rsidR="00250012" w:rsidRDefault="00250012">
      <w:pPr>
        <w:widowControl/>
        <w:spacing w:line="570" w:lineRule="exact"/>
        <w:rPr>
          <w:rFonts w:ascii="仿宋_GB2312" w:cs="Times New Roman"/>
        </w:rPr>
      </w:pPr>
    </w:p>
    <w:p w:rsidR="00250012" w:rsidRDefault="00090AA0">
      <w:pPr>
        <w:jc w:val="center"/>
        <w:rPr>
          <w:rStyle w:val="bd1"/>
          <w:rFonts w:ascii="宋体" w:eastAsia="宋体" w:hAnsi="宋体" w:cs="宋体"/>
          <w:spacing w:val="-10"/>
          <w:sz w:val="44"/>
          <w:szCs w:val="44"/>
        </w:rPr>
      </w:pPr>
      <w:r>
        <w:rPr>
          <w:rStyle w:val="bd1"/>
          <w:rFonts w:ascii="宋体" w:eastAsia="宋体" w:hAnsi="宋体" w:cs="宋体" w:hint="eastAsia"/>
          <w:spacing w:val="-10"/>
          <w:sz w:val="44"/>
          <w:szCs w:val="44"/>
        </w:rPr>
        <w:t>孝感市城市绿化条例</w:t>
      </w:r>
      <w:bookmarkStart w:id="0" w:name="_GoBack"/>
      <w:bookmarkEnd w:id="0"/>
    </w:p>
    <w:p w:rsidR="00250012" w:rsidRDefault="00250012">
      <w:pPr>
        <w:widowControl/>
        <w:spacing w:line="570" w:lineRule="exact"/>
        <w:jc w:val="left"/>
        <w:rPr>
          <w:rFonts w:ascii="楷体_GB2312" w:eastAsia="楷体_GB2312" w:hAnsi="楷体_GB2312" w:cs="Times New Roman"/>
          <w:kern w:val="0"/>
          <w:shd w:val="clear" w:color="auto" w:fill="FFFFFF"/>
        </w:rPr>
      </w:pPr>
    </w:p>
    <w:p w:rsidR="00250012" w:rsidRDefault="00090AA0">
      <w:pPr>
        <w:widowControl/>
        <w:spacing w:line="570" w:lineRule="exact"/>
        <w:ind w:left="640" w:right="640"/>
        <w:jc w:val="left"/>
        <w:rPr>
          <w:rFonts w:ascii="楷体_GB2312" w:eastAsia="楷体_GB2312" w:hAnsi="楷体_GB2312" w:cs="Times New Roman"/>
          <w:spacing w:val="-6"/>
        </w:rPr>
      </w:pPr>
      <w:r>
        <w:rPr>
          <w:rFonts w:ascii="楷体_GB2312" w:eastAsia="楷体_GB2312" w:hAnsi="楷体_GB2312" w:cs="楷体_GB2312" w:hint="eastAsia"/>
          <w:spacing w:val="-6"/>
          <w:kern w:val="0"/>
          <w:shd w:val="clear" w:color="auto" w:fill="FFFFFF"/>
        </w:rPr>
        <w:t>（2017年10月31日孝感市第六届人民代表大会常务委员会第七次会议通过</w:t>
      </w:r>
      <w:r w:rsidR="007D39A4">
        <w:rPr>
          <w:rFonts w:ascii="楷体_GB2312" w:eastAsia="楷体_GB2312" w:hAnsi="楷体_GB2312" w:cs="楷体_GB2312" w:hint="eastAsia"/>
          <w:spacing w:val="-6"/>
          <w:kern w:val="0"/>
          <w:shd w:val="clear" w:color="auto" w:fill="FFFFFF"/>
        </w:rPr>
        <w:t xml:space="preserve"> </w:t>
      </w:r>
      <w:r w:rsidR="007D39A4">
        <w:rPr>
          <w:rFonts w:ascii="楷体_GB2312" w:eastAsia="楷体_GB2312" w:hAnsi="楷体_GB2312" w:cs="楷体_GB2312"/>
          <w:spacing w:val="-6"/>
          <w:kern w:val="0"/>
          <w:shd w:val="clear" w:color="auto" w:fill="FFFFFF"/>
        </w:rPr>
        <w:t xml:space="preserve">  </w:t>
      </w:r>
      <w:r>
        <w:rPr>
          <w:rFonts w:ascii="楷体_GB2312" w:eastAsia="楷体_GB2312" w:hAnsi="楷体_GB2312" w:cs="楷体_GB2312" w:hint="eastAsia"/>
          <w:spacing w:val="-6"/>
          <w:kern w:val="0"/>
          <w:shd w:val="clear" w:color="auto" w:fill="FFFFFF"/>
        </w:rPr>
        <w:t>2018年1月18日湖北省第十二届人民代表大会常务委员会第三十二次会议批准）</w:t>
      </w:r>
    </w:p>
    <w:p w:rsidR="00250012" w:rsidRPr="00363411" w:rsidRDefault="00250012" w:rsidP="00363411">
      <w:pPr>
        <w:spacing w:line="570" w:lineRule="exact"/>
        <w:rPr>
          <w:rFonts w:ascii="黑体" w:eastAsia="黑体" w:hAnsi="黑体" w:cs="Times New Roman" w:hint="eastAsia"/>
          <w:kern w:val="0"/>
        </w:rPr>
      </w:pPr>
    </w:p>
    <w:p w:rsidR="00250012" w:rsidRDefault="00090AA0">
      <w:pPr>
        <w:spacing w:line="570" w:lineRule="exact"/>
        <w:ind w:firstLineChars="200" w:firstLine="640"/>
        <w:rPr>
          <w:rFonts w:ascii="仿宋_GB2312"/>
        </w:rPr>
      </w:pPr>
      <w:r>
        <w:rPr>
          <w:rFonts w:ascii="黑体" w:eastAsia="黑体" w:hAnsi="黑体" w:hint="eastAsia"/>
        </w:rPr>
        <w:t>第一条</w:t>
      </w:r>
      <w:r>
        <w:rPr>
          <w:rFonts w:ascii="仿宋_GB2312" w:hint="eastAsia"/>
        </w:rPr>
        <w:t xml:space="preserve">  为了加强城市绿化工作，保护和改善城市生态环境，提高城市人居环境质量，根据国务院《城市绿化条例》和有关法律、法规，结合本市实际，制定本条例。</w:t>
      </w:r>
    </w:p>
    <w:p w:rsidR="00250012" w:rsidRDefault="00090AA0">
      <w:pPr>
        <w:spacing w:line="570" w:lineRule="exact"/>
        <w:ind w:firstLineChars="200" w:firstLine="640"/>
        <w:rPr>
          <w:rFonts w:ascii="仿宋_GB2312"/>
        </w:rPr>
      </w:pPr>
      <w:r>
        <w:rPr>
          <w:rFonts w:ascii="黑体" w:eastAsia="黑体" w:hAnsi="黑体" w:hint="eastAsia"/>
        </w:rPr>
        <w:t xml:space="preserve">第二条 </w:t>
      </w:r>
      <w:r>
        <w:rPr>
          <w:rFonts w:ascii="仿宋_GB2312" w:hint="eastAsia"/>
        </w:rPr>
        <w:t xml:space="preserve"> 本条例适用于本市城市规划区内城市绿化的规划、建设、保护和管理。</w:t>
      </w:r>
    </w:p>
    <w:p w:rsidR="00250012" w:rsidRDefault="00090AA0">
      <w:pPr>
        <w:spacing w:line="570" w:lineRule="exact"/>
        <w:ind w:firstLineChars="200" w:firstLine="640"/>
        <w:rPr>
          <w:rFonts w:ascii="仿宋_GB2312"/>
        </w:rPr>
      </w:pPr>
      <w:r>
        <w:rPr>
          <w:rFonts w:ascii="黑体" w:eastAsia="黑体" w:hAnsi="黑体" w:hint="eastAsia"/>
        </w:rPr>
        <w:t>第三条</w:t>
      </w:r>
      <w:r>
        <w:rPr>
          <w:rFonts w:ascii="仿宋_GB2312" w:hint="eastAsia"/>
        </w:rPr>
        <w:t xml:space="preserve">  城市绿化应当遵循生态优先、科学规划，因地制宜、资源节约，政府主导、社会参与的原则，兼顾环境保护、休闲游憩、景观营造、文化传承、科普教育、防灾避险等功能。</w:t>
      </w:r>
    </w:p>
    <w:p w:rsidR="00250012" w:rsidRDefault="00090AA0">
      <w:pPr>
        <w:spacing w:line="570" w:lineRule="exact"/>
        <w:ind w:firstLineChars="200" w:firstLine="640"/>
        <w:rPr>
          <w:rFonts w:ascii="仿宋_GB2312"/>
        </w:rPr>
      </w:pPr>
      <w:r>
        <w:rPr>
          <w:rFonts w:ascii="黑体" w:eastAsia="黑体" w:hAnsi="黑体" w:hint="eastAsia"/>
        </w:rPr>
        <w:t xml:space="preserve">第四条 </w:t>
      </w:r>
      <w:r>
        <w:rPr>
          <w:rFonts w:ascii="仿宋_GB2312" w:hint="eastAsia"/>
        </w:rPr>
        <w:t xml:space="preserve"> 市、县（市、区）人民政府应当将城市绿化纳入国民经济和社会发展计划，制定城市绿化发展目标，保障城市绿化发展所需资金及用地。</w:t>
      </w:r>
    </w:p>
    <w:p w:rsidR="00250012" w:rsidRDefault="00090AA0">
      <w:pPr>
        <w:spacing w:line="570" w:lineRule="exact"/>
        <w:ind w:firstLineChars="200" w:firstLine="640"/>
        <w:rPr>
          <w:rFonts w:ascii="仿宋_GB2312"/>
        </w:rPr>
      </w:pPr>
      <w:r>
        <w:rPr>
          <w:rFonts w:ascii="仿宋_GB2312" w:hint="eastAsia"/>
        </w:rPr>
        <w:t>乡镇人民政府、街道办事处按照所在县（市、区）人民政府的要求做好城市绿化相关工作，组织、动员社区（村）居民委员会及辖区内单位开展城市绿化相关活动。</w:t>
      </w:r>
    </w:p>
    <w:p w:rsidR="00250012" w:rsidRDefault="00090AA0">
      <w:pPr>
        <w:spacing w:line="570" w:lineRule="exact"/>
        <w:ind w:firstLineChars="200" w:firstLine="640"/>
        <w:rPr>
          <w:rFonts w:ascii="仿宋_GB2312"/>
        </w:rPr>
      </w:pPr>
      <w:r>
        <w:rPr>
          <w:rFonts w:ascii="黑体" w:eastAsia="黑体" w:hAnsi="黑体" w:hint="eastAsia"/>
        </w:rPr>
        <w:lastRenderedPageBreak/>
        <w:t>第五条</w:t>
      </w:r>
      <w:r>
        <w:rPr>
          <w:rFonts w:ascii="仿宋_GB2312" w:hint="eastAsia"/>
        </w:rPr>
        <w:t xml:space="preserve">  市、县（市）城市绿化主管部门负责本级城市规划区内的城市绿化工作，市辖区城市绿化主管部门按照规定权限负责本辖区内的城市绿化工作。</w:t>
      </w:r>
    </w:p>
    <w:p w:rsidR="00250012" w:rsidRDefault="00090AA0">
      <w:pPr>
        <w:spacing w:line="570" w:lineRule="exact"/>
        <w:ind w:firstLineChars="200" w:firstLine="640"/>
        <w:rPr>
          <w:rFonts w:ascii="仿宋_GB2312"/>
        </w:rPr>
      </w:pPr>
      <w:r>
        <w:rPr>
          <w:rFonts w:ascii="仿宋_GB2312" w:hint="eastAsia"/>
        </w:rPr>
        <w:t>城市管理综合执法部门按照规定职责对损害城市绿化的行为进行查处。其他有关部门按照各自职责做好城市绿化的相关工作。</w:t>
      </w:r>
    </w:p>
    <w:p w:rsidR="00250012" w:rsidRDefault="00090AA0">
      <w:pPr>
        <w:spacing w:line="570" w:lineRule="exact"/>
        <w:ind w:firstLineChars="200" w:firstLine="640"/>
        <w:rPr>
          <w:rFonts w:ascii="仿宋_GB2312"/>
        </w:rPr>
      </w:pPr>
      <w:r>
        <w:rPr>
          <w:rFonts w:ascii="仿宋_GB2312" w:hint="eastAsia"/>
        </w:rPr>
        <w:t>有关法律、法规规定由林业等部门管理的绿化工作，依照有关法律、法规执行。</w:t>
      </w:r>
    </w:p>
    <w:p w:rsidR="00250012" w:rsidRDefault="00090AA0">
      <w:pPr>
        <w:spacing w:line="570" w:lineRule="exact"/>
        <w:ind w:firstLineChars="200" w:firstLine="640"/>
        <w:rPr>
          <w:rFonts w:ascii="仿宋_GB2312"/>
        </w:rPr>
      </w:pPr>
      <w:r>
        <w:rPr>
          <w:rFonts w:ascii="黑体" w:eastAsia="黑体" w:hAnsi="黑体" w:hint="eastAsia"/>
        </w:rPr>
        <w:t xml:space="preserve">第六条 </w:t>
      </w:r>
      <w:r>
        <w:rPr>
          <w:rFonts w:ascii="仿宋_GB2312" w:hint="eastAsia"/>
        </w:rPr>
        <w:t xml:space="preserve"> 市、县（市、区）人民政府应当组织推动全民义务植树和群众性绿化工作，鼓励开展创建园林小区、园林单位等活动。</w:t>
      </w:r>
    </w:p>
    <w:p w:rsidR="00250012" w:rsidRDefault="00090AA0">
      <w:pPr>
        <w:spacing w:line="570" w:lineRule="exact"/>
        <w:ind w:firstLineChars="200" w:firstLine="640"/>
        <w:rPr>
          <w:rFonts w:ascii="仿宋_GB2312"/>
        </w:rPr>
      </w:pPr>
      <w:r>
        <w:rPr>
          <w:rFonts w:ascii="仿宋_GB2312" w:hint="eastAsia"/>
        </w:rPr>
        <w:t>单位和有劳动能力的公民应当按照国家有关规定履行植树和其他绿化义务。</w:t>
      </w:r>
    </w:p>
    <w:p w:rsidR="00250012" w:rsidRDefault="00090AA0">
      <w:pPr>
        <w:spacing w:line="570" w:lineRule="exact"/>
        <w:ind w:firstLineChars="200" w:firstLine="640"/>
        <w:rPr>
          <w:rFonts w:ascii="仿宋_GB2312"/>
        </w:rPr>
      </w:pPr>
      <w:r>
        <w:rPr>
          <w:rFonts w:ascii="仿宋_GB2312" w:hint="eastAsia"/>
        </w:rPr>
        <w:t>鼓励单位和个人以投资、捐资、认建、认养等方式参与城市绿化建设和养护。投资、捐资、认建、认养的单位或者个人可以按照协议享有冠名权等权益。</w:t>
      </w:r>
    </w:p>
    <w:p w:rsidR="00250012" w:rsidRDefault="00090AA0">
      <w:pPr>
        <w:spacing w:line="570" w:lineRule="exact"/>
        <w:ind w:firstLineChars="200" w:firstLine="640"/>
        <w:rPr>
          <w:rFonts w:ascii="仿宋_GB2312"/>
        </w:rPr>
      </w:pPr>
      <w:r>
        <w:rPr>
          <w:rFonts w:ascii="黑体" w:eastAsia="黑体" w:hAnsi="黑体" w:hint="eastAsia"/>
        </w:rPr>
        <w:t xml:space="preserve">第七条 </w:t>
      </w:r>
      <w:r>
        <w:rPr>
          <w:rFonts w:ascii="仿宋_GB2312" w:hint="eastAsia"/>
        </w:rPr>
        <w:t xml:space="preserve"> 市、县（市、区）人民政府应当对在城市绿化工作中成绩显著的单位和个人给予表彰和奖励。</w:t>
      </w:r>
    </w:p>
    <w:p w:rsidR="00250012" w:rsidRDefault="00090AA0">
      <w:pPr>
        <w:spacing w:line="570" w:lineRule="exact"/>
        <w:ind w:firstLineChars="200" w:firstLine="640"/>
        <w:rPr>
          <w:rFonts w:ascii="仿宋_GB2312"/>
        </w:rPr>
      </w:pPr>
      <w:r>
        <w:rPr>
          <w:rFonts w:ascii="仿宋_GB2312" w:hint="eastAsia"/>
        </w:rPr>
        <w:t>任何单位和个人应当爱护城市绿化，并有权对损害城市绿化的行为进行劝阻、投诉和举</w:t>
      </w:r>
      <w:r>
        <w:rPr>
          <w:rFonts w:ascii="仿宋_GB2312" w:hint="eastAsia"/>
          <w:color w:val="000000"/>
        </w:rPr>
        <w:t>报。举报经查证属实的，由城市绿化主管部门给予奖励。</w:t>
      </w:r>
    </w:p>
    <w:p w:rsidR="00250012" w:rsidRDefault="00090AA0">
      <w:pPr>
        <w:spacing w:line="570" w:lineRule="exact"/>
        <w:ind w:firstLineChars="200" w:firstLine="640"/>
        <w:rPr>
          <w:rFonts w:ascii="仿宋_GB2312"/>
        </w:rPr>
      </w:pPr>
      <w:r>
        <w:rPr>
          <w:rFonts w:ascii="黑体" w:eastAsia="黑体" w:hAnsi="黑体" w:hint="eastAsia"/>
        </w:rPr>
        <w:t>第八条</w:t>
      </w:r>
      <w:r>
        <w:rPr>
          <w:rFonts w:ascii="仿宋_GB2312" w:hint="eastAsia"/>
        </w:rPr>
        <w:t xml:space="preserve">  城市总体规划应当安排与城市性质、规模和发展需</w:t>
      </w:r>
      <w:r>
        <w:rPr>
          <w:rFonts w:ascii="仿宋_GB2312" w:hint="eastAsia"/>
        </w:rPr>
        <w:lastRenderedPageBreak/>
        <w:t>要相适应的绿化用地。</w:t>
      </w:r>
      <w:r>
        <w:rPr>
          <w:rFonts w:ascii="仿宋_GB2312" w:hint="eastAsia"/>
          <w:color w:val="000000"/>
        </w:rPr>
        <w:t>城市新建区绿地率不低于35%，旧城改建区不低于25%。</w:t>
      </w:r>
    </w:p>
    <w:p w:rsidR="00250012" w:rsidRDefault="00090AA0">
      <w:pPr>
        <w:spacing w:line="570" w:lineRule="exact"/>
        <w:ind w:firstLineChars="200" w:firstLine="640"/>
        <w:rPr>
          <w:rFonts w:ascii="仿宋_GB2312"/>
        </w:rPr>
      </w:pPr>
      <w:r>
        <w:rPr>
          <w:rFonts w:ascii="仿宋_GB2312" w:hint="eastAsia"/>
        </w:rPr>
        <w:t>城市绿化主管部门应当会同城乡规划主管部门依据城市总体规划，编制城市绿地系统规划，报本级人民政府批准后公布实施。</w:t>
      </w:r>
    </w:p>
    <w:p w:rsidR="00250012" w:rsidRDefault="00090AA0">
      <w:pPr>
        <w:spacing w:line="570" w:lineRule="exact"/>
        <w:ind w:firstLineChars="200" w:firstLine="640"/>
        <w:rPr>
          <w:rFonts w:ascii="仿宋_GB2312"/>
        </w:rPr>
      </w:pPr>
      <w:r>
        <w:rPr>
          <w:rFonts w:ascii="黑体" w:eastAsia="黑体" w:hAnsi="黑体" w:hint="eastAsia"/>
        </w:rPr>
        <w:t xml:space="preserve">第九条 </w:t>
      </w:r>
      <w:r>
        <w:rPr>
          <w:rFonts w:ascii="仿宋_GB2312" w:hint="eastAsia"/>
        </w:rPr>
        <w:t xml:space="preserve"> 城乡规划主管部门应当会同城市绿化主管部门依据城市绿地系统规划、控制性详细规划，划定城市各类绿地范围的控制线（以下简称城市绿线），报本级人民政府批准后，向社会公布，接受公众监督。</w:t>
      </w:r>
    </w:p>
    <w:p w:rsidR="00250012" w:rsidRDefault="00090AA0">
      <w:pPr>
        <w:spacing w:line="570" w:lineRule="exact"/>
        <w:ind w:firstLineChars="200" w:firstLine="640"/>
        <w:rPr>
          <w:rFonts w:ascii="仿宋_GB2312"/>
        </w:rPr>
      </w:pPr>
      <w:r>
        <w:rPr>
          <w:rFonts w:ascii="仿宋_GB2312" w:hint="eastAsia"/>
        </w:rPr>
        <w:t>城市绿线划定后，不得擅自调整。因城市规划修改或者城市建设确需调整的，应当征求城市绿化主管部门的意见，并按照原审批程序报批。</w:t>
      </w:r>
    </w:p>
    <w:p w:rsidR="00250012" w:rsidRDefault="00090AA0">
      <w:pPr>
        <w:spacing w:line="570" w:lineRule="exact"/>
        <w:ind w:firstLineChars="200" w:firstLine="640"/>
        <w:rPr>
          <w:rFonts w:ascii="仿宋_GB2312"/>
        </w:rPr>
      </w:pPr>
      <w:r>
        <w:rPr>
          <w:rFonts w:ascii="仿宋_GB2312" w:hint="eastAsia"/>
        </w:rPr>
        <w:t>因调整绿线而减少的绿地面积，应当限期予以补足。</w:t>
      </w:r>
    </w:p>
    <w:p w:rsidR="00250012" w:rsidRDefault="00090AA0">
      <w:pPr>
        <w:spacing w:line="570" w:lineRule="exact"/>
        <w:ind w:firstLineChars="200" w:firstLine="640"/>
        <w:rPr>
          <w:rFonts w:ascii="仿宋_GB2312"/>
        </w:rPr>
      </w:pPr>
      <w:r>
        <w:rPr>
          <w:rFonts w:ascii="黑体" w:eastAsia="黑体" w:hAnsi="黑体" w:hint="eastAsia"/>
        </w:rPr>
        <w:t xml:space="preserve">第十条 </w:t>
      </w:r>
      <w:r>
        <w:rPr>
          <w:rFonts w:ascii="仿宋_GB2312" w:hint="eastAsia"/>
        </w:rPr>
        <w:t xml:space="preserve"> 任何单位和个人不得在城市绿线范围内进行与绿化无关的建设。</w:t>
      </w:r>
    </w:p>
    <w:p w:rsidR="00250012" w:rsidRDefault="00090AA0">
      <w:pPr>
        <w:spacing w:line="570" w:lineRule="exact"/>
        <w:ind w:firstLineChars="200" w:firstLine="640"/>
        <w:rPr>
          <w:rFonts w:ascii="仿宋_GB2312"/>
        </w:rPr>
      </w:pPr>
      <w:r>
        <w:rPr>
          <w:rFonts w:ascii="仿宋_GB2312" w:hint="eastAsia"/>
        </w:rPr>
        <w:t>城市绿线范围内不符合规划要求的建（构）筑物及其他设施，应当限期迁出或者拆除。</w:t>
      </w:r>
    </w:p>
    <w:p w:rsidR="00250012" w:rsidRDefault="00090AA0">
      <w:pPr>
        <w:spacing w:line="570" w:lineRule="exact"/>
        <w:ind w:firstLineChars="200" w:firstLine="640"/>
        <w:rPr>
          <w:rFonts w:ascii="仿宋_GB2312"/>
        </w:rPr>
      </w:pPr>
      <w:r>
        <w:rPr>
          <w:rFonts w:ascii="黑体" w:eastAsia="黑体" w:hAnsi="黑体" w:hint="eastAsia"/>
        </w:rPr>
        <w:t xml:space="preserve">第十一条 </w:t>
      </w:r>
      <w:r>
        <w:rPr>
          <w:rFonts w:ascii="仿宋_GB2312" w:hint="eastAsia"/>
        </w:rPr>
        <w:t xml:space="preserve"> 城市新建区三百米半径内应当规划建设不少于一处一千平方米以上的游园，五百米半径内应当规划建设不少于一处五千平方米以上的公园绿地；旧城改建区三百米半径内应当规划建设街头绿地，五百米半径内应当规划建设游园。</w:t>
      </w:r>
    </w:p>
    <w:p w:rsidR="00250012" w:rsidRDefault="00090AA0">
      <w:pPr>
        <w:spacing w:line="570" w:lineRule="exact"/>
        <w:ind w:firstLineChars="200" w:firstLine="640"/>
        <w:rPr>
          <w:rFonts w:ascii="仿宋_GB2312"/>
        </w:rPr>
      </w:pPr>
      <w:r>
        <w:rPr>
          <w:rFonts w:ascii="黑体" w:eastAsia="黑体" w:hAnsi="黑体" w:hint="eastAsia"/>
        </w:rPr>
        <w:t xml:space="preserve">第十二条 </w:t>
      </w:r>
      <w:r>
        <w:rPr>
          <w:rFonts w:ascii="仿宋_GB2312" w:hint="eastAsia"/>
        </w:rPr>
        <w:t xml:space="preserve"> 建设项目应当安排配套绿化用地，其绿地率应当</w:t>
      </w:r>
      <w:r>
        <w:rPr>
          <w:rFonts w:ascii="仿宋_GB2312" w:hint="eastAsia"/>
        </w:rPr>
        <w:lastRenderedPageBreak/>
        <w:t>达到下列标准：</w:t>
      </w:r>
    </w:p>
    <w:p w:rsidR="00250012" w:rsidRDefault="00090AA0">
      <w:pPr>
        <w:spacing w:line="570" w:lineRule="exact"/>
        <w:ind w:firstLineChars="200" w:firstLine="640"/>
        <w:rPr>
          <w:rFonts w:ascii="仿宋_GB2312"/>
        </w:rPr>
      </w:pPr>
      <w:r>
        <w:rPr>
          <w:rFonts w:ascii="仿宋_GB2312" w:hint="eastAsia"/>
        </w:rPr>
        <w:t>（一）新建区的住宅项目不低于30%，旧城改建区的住宅项目不低于25%；</w:t>
      </w:r>
    </w:p>
    <w:p w:rsidR="00250012" w:rsidRDefault="00090AA0">
      <w:pPr>
        <w:spacing w:line="570" w:lineRule="exact"/>
        <w:ind w:firstLineChars="200" w:firstLine="640"/>
        <w:rPr>
          <w:rFonts w:ascii="仿宋_GB2312"/>
        </w:rPr>
      </w:pPr>
      <w:r>
        <w:rPr>
          <w:rFonts w:ascii="仿宋_GB2312" w:hint="eastAsia"/>
        </w:rPr>
        <w:t>（二）行政办公、文化、教育科研、体育、医疗卫生等项目不低于35%；</w:t>
      </w:r>
    </w:p>
    <w:p w:rsidR="00250012" w:rsidRDefault="00090AA0">
      <w:pPr>
        <w:spacing w:line="570" w:lineRule="exact"/>
        <w:ind w:firstLineChars="200" w:firstLine="640"/>
        <w:rPr>
          <w:rFonts w:ascii="仿宋_GB2312"/>
        </w:rPr>
      </w:pPr>
      <w:r>
        <w:rPr>
          <w:rFonts w:ascii="仿宋_GB2312" w:hint="eastAsia"/>
        </w:rPr>
        <w:t>（三）交通枢纽和公用设施项目不低于20%；</w:t>
      </w:r>
    </w:p>
    <w:p w:rsidR="00250012" w:rsidRDefault="00090AA0">
      <w:pPr>
        <w:spacing w:line="570" w:lineRule="exact"/>
        <w:ind w:firstLineChars="200" w:firstLine="640"/>
        <w:rPr>
          <w:rFonts w:ascii="仿宋_GB2312"/>
        </w:rPr>
      </w:pPr>
      <w:r>
        <w:rPr>
          <w:rFonts w:ascii="仿宋_GB2312" w:hint="eastAsia"/>
        </w:rPr>
        <w:t>（四）商业服务业设施项目不低于20%；</w:t>
      </w:r>
    </w:p>
    <w:p w:rsidR="00250012" w:rsidRDefault="00090AA0">
      <w:pPr>
        <w:spacing w:line="570" w:lineRule="exact"/>
        <w:ind w:firstLineChars="200" w:firstLine="640"/>
        <w:rPr>
          <w:rFonts w:ascii="仿宋_GB2312"/>
        </w:rPr>
      </w:pPr>
      <w:r>
        <w:rPr>
          <w:rFonts w:ascii="仿宋_GB2312" w:hint="eastAsia"/>
        </w:rPr>
        <w:t>（五）工业、物流仓储等项目为10%至15%；</w:t>
      </w:r>
    </w:p>
    <w:p w:rsidR="00250012" w:rsidRDefault="00090AA0">
      <w:pPr>
        <w:spacing w:line="570" w:lineRule="exact"/>
        <w:ind w:firstLineChars="200" w:firstLine="640"/>
        <w:rPr>
          <w:rFonts w:ascii="仿宋_GB2312"/>
        </w:rPr>
      </w:pPr>
      <w:r>
        <w:rPr>
          <w:rFonts w:ascii="仿宋_GB2312" w:hint="eastAsia"/>
        </w:rPr>
        <w:t>（六）城市主干道不低于20%，次干道不低于15%。</w:t>
      </w:r>
    </w:p>
    <w:p w:rsidR="00250012" w:rsidRDefault="00090AA0">
      <w:pPr>
        <w:spacing w:line="570" w:lineRule="exact"/>
        <w:ind w:firstLineChars="200" w:firstLine="640"/>
        <w:rPr>
          <w:rFonts w:ascii="仿宋_GB2312"/>
        </w:rPr>
      </w:pPr>
      <w:r>
        <w:rPr>
          <w:rFonts w:ascii="仿宋_GB2312" w:hint="eastAsia"/>
        </w:rPr>
        <w:t>其他建设项目配套绿地率，按照国家、省有关规定执行。</w:t>
      </w:r>
    </w:p>
    <w:p w:rsidR="00250012" w:rsidRDefault="00090AA0">
      <w:pPr>
        <w:spacing w:line="570" w:lineRule="exact"/>
        <w:ind w:firstLineChars="200" w:firstLine="640"/>
        <w:rPr>
          <w:rFonts w:ascii="仿宋_GB2312"/>
        </w:rPr>
      </w:pPr>
      <w:r>
        <w:rPr>
          <w:rFonts w:ascii="仿宋_GB2312" w:hint="eastAsia"/>
        </w:rPr>
        <w:t>建设项目属于兼容用地性质的，其配套绿地率指标按照所含各类别用地比例的加权平均值确定。</w:t>
      </w:r>
    </w:p>
    <w:p w:rsidR="00250012" w:rsidRDefault="00090AA0">
      <w:pPr>
        <w:spacing w:line="570" w:lineRule="exact"/>
        <w:ind w:firstLineChars="200" w:firstLine="640"/>
        <w:rPr>
          <w:rFonts w:ascii="仿宋_GB2312"/>
        </w:rPr>
      </w:pPr>
      <w:r>
        <w:rPr>
          <w:rFonts w:ascii="黑体" w:eastAsia="黑体" w:hAnsi="黑体" w:hint="eastAsia"/>
        </w:rPr>
        <w:t>第十三条</w:t>
      </w:r>
      <w:r>
        <w:rPr>
          <w:rFonts w:ascii="仿宋_GB2312" w:hint="eastAsia"/>
        </w:rPr>
        <w:t xml:space="preserve">  建设项目配套绿化工程应当与主体工程同步规划、同步设计。设计方案按照基本建设程序审批时，城市绿化主管部门应当参加审查。设计方案未经审查或者审查不合格的，城乡规划主管部门不得核发建设工程规划许可证。</w:t>
      </w:r>
    </w:p>
    <w:p w:rsidR="00250012" w:rsidRDefault="00090AA0">
      <w:pPr>
        <w:spacing w:line="570" w:lineRule="exact"/>
        <w:ind w:firstLineChars="200" w:firstLine="640"/>
        <w:rPr>
          <w:rFonts w:ascii="仿宋_GB2312"/>
        </w:rPr>
      </w:pPr>
      <w:r>
        <w:rPr>
          <w:rFonts w:ascii="仿宋_GB2312" w:hint="eastAsia"/>
        </w:rPr>
        <w:t>绿化工程应当按照批准的设计方案进行建设。确需改变设计方案的，应当按照原审批程序报批。</w:t>
      </w:r>
    </w:p>
    <w:p w:rsidR="00250012" w:rsidRDefault="00090AA0">
      <w:pPr>
        <w:spacing w:line="570" w:lineRule="exact"/>
        <w:ind w:firstLineChars="200" w:firstLine="640"/>
        <w:rPr>
          <w:rFonts w:ascii="仿宋_GB2312"/>
        </w:rPr>
      </w:pPr>
      <w:r>
        <w:rPr>
          <w:rFonts w:ascii="黑体" w:eastAsia="黑体" w:hAnsi="黑体" w:hint="eastAsia"/>
        </w:rPr>
        <w:t xml:space="preserve">第十四条  </w:t>
      </w:r>
      <w:r>
        <w:rPr>
          <w:rFonts w:ascii="仿宋_GB2312" w:hint="eastAsia"/>
        </w:rPr>
        <w:t>建设项目配套绿化工程应当与主体工程同时完成。确因季节原因不能同时完成的，完成时间不得迟于主体工程竣工后的六个月。</w:t>
      </w:r>
    </w:p>
    <w:p w:rsidR="00250012" w:rsidRDefault="00090AA0">
      <w:pPr>
        <w:spacing w:line="570" w:lineRule="exact"/>
        <w:ind w:firstLineChars="200" w:firstLine="640"/>
        <w:rPr>
          <w:rFonts w:ascii="仿宋_GB2312"/>
        </w:rPr>
      </w:pPr>
      <w:r>
        <w:rPr>
          <w:rFonts w:ascii="仿宋_GB2312" w:hint="eastAsia"/>
        </w:rPr>
        <w:t>住宅项目配套绿化工程竣工后，建设单位应当在居住区的显</w:t>
      </w:r>
      <w:r>
        <w:rPr>
          <w:rFonts w:ascii="仿宋_GB2312" w:hint="eastAsia"/>
        </w:rPr>
        <w:lastRenderedPageBreak/>
        <w:t>著位置公示绿地平面图。</w:t>
      </w:r>
    </w:p>
    <w:p w:rsidR="00250012" w:rsidRDefault="00090AA0">
      <w:pPr>
        <w:spacing w:line="570" w:lineRule="exact"/>
        <w:ind w:firstLineChars="200" w:firstLine="640"/>
        <w:rPr>
          <w:rFonts w:ascii="仿宋_GB2312"/>
        </w:rPr>
      </w:pPr>
      <w:r>
        <w:rPr>
          <w:rFonts w:ascii="黑体" w:eastAsia="黑体" w:hAnsi="黑体" w:hint="eastAsia"/>
        </w:rPr>
        <w:t xml:space="preserve">第十五条 </w:t>
      </w:r>
      <w:r>
        <w:rPr>
          <w:rFonts w:ascii="仿宋_GB2312" w:hint="eastAsia"/>
        </w:rPr>
        <w:t xml:space="preserve"> </w:t>
      </w:r>
      <w:r>
        <w:rPr>
          <w:rFonts w:ascii="仿宋_GB2312" w:hint="eastAsia"/>
          <w:color w:val="000000"/>
        </w:rPr>
        <w:t>城市绿化建设应当结合本地地理气候特征，优先选用乡土和适生植物，合理配置植物类型，不得栽植不适合本地生长的树种。</w:t>
      </w:r>
    </w:p>
    <w:p w:rsidR="00250012" w:rsidRDefault="00090AA0">
      <w:pPr>
        <w:spacing w:line="570" w:lineRule="exact"/>
        <w:ind w:firstLineChars="200" w:firstLine="640"/>
        <w:rPr>
          <w:rFonts w:ascii="仿宋_GB2312"/>
        </w:rPr>
      </w:pPr>
      <w:r>
        <w:rPr>
          <w:rFonts w:ascii="仿宋_GB2312" w:hint="eastAsia"/>
        </w:rPr>
        <w:t>鼓励进行屋顶绿化、垂直绿化等多种形式的立体绿化和开放式绿化，但不得侵害他人合法权益或者影响建筑安全和公共安全。</w:t>
      </w:r>
    </w:p>
    <w:p w:rsidR="00250012" w:rsidRDefault="00090AA0">
      <w:pPr>
        <w:spacing w:line="570" w:lineRule="exact"/>
        <w:ind w:firstLineChars="200" w:firstLine="640"/>
        <w:rPr>
          <w:rFonts w:ascii="仿宋_GB2312"/>
        </w:rPr>
      </w:pPr>
      <w:r>
        <w:rPr>
          <w:rFonts w:ascii="仿宋_GB2312" w:hint="eastAsia"/>
        </w:rPr>
        <w:t>公共服务设施和公用设施适宜进行立体绿化的，应当实施立体绿化。城市道路两侧沿线单位，除有特殊安全需要外，应当实施开放式绿化。室外停车场具备条件的，应当配植庇荫乔木、绿化带，铺设植草地坪。</w:t>
      </w:r>
    </w:p>
    <w:p w:rsidR="00250012" w:rsidRDefault="00090AA0">
      <w:pPr>
        <w:spacing w:line="570" w:lineRule="exact"/>
        <w:ind w:firstLineChars="200" w:firstLine="640"/>
        <w:rPr>
          <w:rFonts w:ascii="仿宋_GB2312"/>
        </w:rPr>
      </w:pPr>
      <w:r>
        <w:rPr>
          <w:rFonts w:ascii="黑体" w:eastAsia="黑体" w:hAnsi="黑体" w:hint="eastAsia"/>
        </w:rPr>
        <w:t xml:space="preserve">第十六条  </w:t>
      </w:r>
      <w:r>
        <w:rPr>
          <w:rFonts w:ascii="仿宋_GB2312" w:hint="eastAsia"/>
        </w:rPr>
        <w:t>任何单位和个人不得擅自改变城市绿地性质。因城市规划修改或者重大市政基础设施建设确需改变的，城市绿化主管部门应当会同城乡规划主管部门组织有关专家进行论证，并向社会公众征求意见后，报本级人民政府批准。</w:t>
      </w:r>
    </w:p>
    <w:p w:rsidR="00250012" w:rsidRDefault="00090AA0">
      <w:pPr>
        <w:spacing w:line="570" w:lineRule="exact"/>
        <w:ind w:firstLineChars="200" w:firstLine="640"/>
        <w:rPr>
          <w:rFonts w:ascii="仿宋_GB2312"/>
        </w:rPr>
      </w:pPr>
      <w:r>
        <w:rPr>
          <w:rFonts w:ascii="仿宋_GB2312" w:hint="eastAsia"/>
        </w:rPr>
        <w:t>改变绿地性质的，申请人应当按照先补后占、占补平衡的原则，就近建设同等面积的绿地。</w:t>
      </w:r>
    </w:p>
    <w:p w:rsidR="00250012" w:rsidRDefault="00090AA0">
      <w:pPr>
        <w:spacing w:line="570" w:lineRule="exact"/>
        <w:ind w:firstLineChars="200" w:firstLine="640"/>
        <w:rPr>
          <w:rFonts w:ascii="仿宋_GB2312"/>
        </w:rPr>
      </w:pPr>
      <w:r>
        <w:rPr>
          <w:rFonts w:ascii="黑体" w:eastAsia="黑体" w:hAnsi="黑体" w:hint="eastAsia"/>
        </w:rPr>
        <w:t xml:space="preserve">第十七条 </w:t>
      </w:r>
      <w:r>
        <w:rPr>
          <w:rFonts w:ascii="仿宋_GB2312" w:hint="eastAsia"/>
        </w:rPr>
        <w:t xml:space="preserve"> 任何单位和个人不得擅自占用城市绿地。因城市建设或者其他特殊情况需要临时占用城市绿地的，应当经城市绿化主管部门批准。</w:t>
      </w:r>
    </w:p>
    <w:p w:rsidR="00250012" w:rsidRDefault="00090AA0">
      <w:pPr>
        <w:spacing w:line="570" w:lineRule="exact"/>
        <w:ind w:firstLineChars="200" w:firstLine="640"/>
        <w:rPr>
          <w:rFonts w:ascii="仿宋_GB2312"/>
        </w:rPr>
      </w:pPr>
      <w:r>
        <w:rPr>
          <w:rFonts w:ascii="仿宋_GB2312" w:hint="eastAsia"/>
        </w:rPr>
        <w:t>经批准临时占用绿地的，占用者应当在被占用绿地四周明显位置设置公示牌，标明占用事由、面积、期限等有关信息。</w:t>
      </w:r>
    </w:p>
    <w:p w:rsidR="00250012" w:rsidRDefault="00090AA0">
      <w:pPr>
        <w:spacing w:line="570" w:lineRule="exact"/>
        <w:ind w:firstLineChars="200" w:firstLine="640"/>
        <w:rPr>
          <w:rFonts w:ascii="仿宋_GB2312"/>
        </w:rPr>
      </w:pPr>
      <w:r>
        <w:rPr>
          <w:rFonts w:ascii="仿宋_GB2312" w:hint="eastAsia"/>
        </w:rPr>
        <w:t>临时占用绿地时间一般不超过一年，确需延长的，应当办理</w:t>
      </w:r>
      <w:r>
        <w:rPr>
          <w:rFonts w:ascii="仿宋_GB2312" w:hint="eastAsia"/>
        </w:rPr>
        <w:lastRenderedPageBreak/>
        <w:t>延期手续，延期最长不超过一年。临时占用期满前，应当恢复原状，造成损失的应当赔偿。</w:t>
      </w:r>
    </w:p>
    <w:p w:rsidR="00250012" w:rsidRDefault="00090AA0">
      <w:pPr>
        <w:spacing w:line="570" w:lineRule="exact"/>
        <w:ind w:firstLineChars="200" w:firstLine="640"/>
        <w:rPr>
          <w:rFonts w:ascii="仿宋_GB2312"/>
        </w:rPr>
      </w:pPr>
      <w:r>
        <w:rPr>
          <w:rFonts w:ascii="黑体" w:eastAsia="黑体" w:hAnsi="黑体" w:hint="eastAsia"/>
        </w:rPr>
        <w:t xml:space="preserve">第十八条 </w:t>
      </w:r>
      <w:r>
        <w:rPr>
          <w:rFonts w:ascii="仿宋_GB2312" w:hint="eastAsia"/>
        </w:rPr>
        <w:t xml:space="preserve"> 城市绿地养护管理责任按照下列规定确定：</w:t>
      </w:r>
    </w:p>
    <w:p w:rsidR="00250012" w:rsidRDefault="00090AA0">
      <w:pPr>
        <w:spacing w:line="570" w:lineRule="exact"/>
        <w:ind w:firstLineChars="200" w:firstLine="640"/>
        <w:rPr>
          <w:rFonts w:ascii="仿宋_GB2312"/>
        </w:rPr>
      </w:pPr>
      <w:r>
        <w:rPr>
          <w:rFonts w:ascii="仿宋_GB2312" w:hint="eastAsia"/>
        </w:rPr>
        <w:t>（一）政府投资建设的公园绿地、广场绿地、道路绿地由城市绿化主管部门负责；</w:t>
      </w:r>
    </w:p>
    <w:p w:rsidR="00250012" w:rsidRDefault="00090AA0">
      <w:pPr>
        <w:spacing w:line="570" w:lineRule="exact"/>
        <w:ind w:firstLineChars="200" w:firstLine="640"/>
        <w:rPr>
          <w:rFonts w:ascii="仿宋_GB2312"/>
        </w:rPr>
      </w:pPr>
      <w:r>
        <w:rPr>
          <w:rFonts w:ascii="仿宋_GB2312" w:hint="eastAsia"/>
        </w:rPr>
        <w:t>（二）单位附属绿地由所在单位负责；</w:t>
      </w:r>
    </w:p>
    <w:p w:rsidR="00250012" w:rsidRDefault="00090AA0">
      <w:pPr>
        <w:spacing w:line="570" w:lineRule="exact"/>
        <w:ind w:firstLineChars="200" w:firstLine="640"/>
        <w:rPr>
          <w:rFonts w:ascii="仿宋_GB2312"/>
        </w:rPr>
      </w:pPr>
      <w:r>
        <w:rPr>
          <w:rFonts w:ascii="仿宋_GB2312" w:hint="eastAsia"/>
        </w:rPr>
        <w:t>（三）居住区绿地由业主或者业主委托的物业服务企业负责；</w:t>
      </w:r>
    </w:p>
    <w:p w:rsidR="00250012" w:rsidRDefault="00090AA0">
      <w:pPr>
        <w:spacing w:line="570" w:lineRule="exact"/>
        <w:ind w:firstLineChars="200" w:firstLine="640"/>
        <w:rPr>
          <w:rFonts w:ascii="仿宋_GB2312"/>
        </w:rPr>
      </w:pPr>
      <w:r>
        <w:rPr>
          <w:rFonts w:ascii="仿宋_GB2312" w:hint="eastAsia"/>
        </w:rPr>
        <w:t>（四）生产绿地由其经营单位负责；</w:t>
      </w:r>
    </w:p>
    <w:p w:rsidR="00250012" w:rsidRDefault="00090AA0">
      <w:pPr>
        <w:spacing w:line="570" w:lineRule="exact"/>
        <w:ind w:firstLineChars="200" w:firstLine="640"/>
        <w:rPr>
          <w:rFonts w:ascii="仿宋_GB2312"/>
        </w:rPr>
      </w:pPr>
      <w:r>
        <w:rPr>
          <w:rFonts w:ascii="仿宋_GB2312" w:hint="eastAsia"/>
        </w:rPr>
        <w:t>（五）其他绿地由其所有权人负责。</w:t>
      </w:r>
    </w:p>
    <w:p w:rsidR="00250012" w:rsidRDefault="00090AA0">
      <w:pPr>
        <w:spacing w:line="570" w:lineRule="exact"/>
        <w:ind w:firstLineChars="200" w:firstLine="640"/>
        <w:rPr>
          <w:rFonts w:ascii="仿宋_GB2312"/>
        </w:rPr>
      </w:pPr>
      <w:r>
        <w:rPr>
          <w:rFonts w:ascii="黑体" w:eastAsia="黑体" w:hAnsi="黑体" w:hint="eastAsia"/>
        </w:rPr>
        <w:t>第十九条</w:t>
      </w:r>
      <w:r>
        <w:rPr>
          <w:rFonts w:ascii="仿宋_GB2312" w:hint="eastAsia"/>
        </w:rPr>
        <w:t xml:space="preserve">  城市绿地养护管理责任人应当按照有关技术规范，做好绿地内花草树木及绿化设施的养护管理工作。因养护管理不当造成绿化苗木受损、死亡、缺株或者设施损坏的，应当及时补植、修复或者采取其他补救措施。</w:t>
      </w:r>
    </w:p>
    <w:p w:rsidR="00250012" w:rsidRDefault="00090AA0">
      <w:pPr>
        <w:spacing w:line="570" w:lineRule="exact"/>
        <w:ind w:firstLineChars="200" w:firstLine="640"/>
        <w:rPr>
          <w:rFonts w:ascii="仿宋_GB2312"/>
        </w:rPr>
      </w:pPr>
      <w:r>
        <w:rPr>
          <w:rFonts w:ascii="仿宋_GB2312" w:hint="eastAsia"/>
        </w:rPr>
        <w:t>使用财政性资金实施养护的绿地，其养护管理责任人应当通过招标方式确定养护单位。</w:t>
      </w:r>
    </w:p>
    <w:p w:rsidR="00250012" w:rsidRDefault="00090AA0">
      <w:pPr>
        <w:spacing w:line="570" w:lineRule="exact"/>
        <w:ind w:firstLineChars="200" w:firstLine="640"/>
        <w:rPr>
          <w:rFonts w:ascii="仿宋_GB2312"/>
        </w:rPr>
      </w:pPr>
      <w:r>
        <w:rPr>
          <w:rFonts w:ascii="黑体" w:eastAsia="黑体" w:hAnsi="黑体" w:hint="eastAsia"/>
        </w:rPr>
        <w:t>第二十条</w:t>
      </w:r>
      <w:r>
        <w:rPr>
          <w:rFonts w:ascii="仿宋_GB2312" w:hint="eastAsia"/>
        </w:rPr>
        <w:t xml:space="preserve">  城市绿地养护管理责任人应当根据树木生长情况，按照有关技术规范定期对树木进行修剪。</w:t>
      </w:r>
    </w:p>
    <w:p w:rsidR="00250012" w:rsidRDefault="00090AA0">
      <w:pPr>
        <w:spacing w:line="570" w:lineRule="exact"/>
        <w:ind w:firstLineChars="200" w:firstLine="640"/>
        <w:rPr>
          <w:rFonts w:ascii="仿宋_GB2312"/>
        </w:rPr>
      </w:pPr>
      <w:r>
        <w:rPr>
          <w:rFonts w:ascii="仿宋_GB2312" w:hint="eastAsia"/>
        </w:rPr>
        <w:t>树木生长影响采光、通风、居住安全和城市管线、交通、建(构)筑物安全的，养护管理责任人应当及时组织修剪。</w:t>
      </w:r>
    </w:p>
    <w:p w:rsidR="00250012" w:rsidRDefault="00090AA0">
      <w:pPr>
        <w:spacing w:line="570" w:lineRule="exact"/>
        <w:ind w:firstLineChars="200" w:firstLine="640"/>
        <w:rPr>
          <w:rFonts w:ascii="仿宋_GB2312"/>
        </w:rPr>
      </w:pPr>
      <w:r>
        <w:rPr>
          <w:rFonts w:ascii="黑体" w:eastAsia="黑体" w:hAnsi="黑体" w:hint="eastAsia"/>
        </w:rPr>
        <w:t xml:space="preserve">第二十一条 </w:t>
      </w:r>
      <w:r>
        <w:rPr>
          <w:rFonts w:ascii="仿宋_GB2312" w:hint="eastAsia"/>
        </w:rPr>
        <w:t xml:space="preserve"> 任何单位和个人不得擅自移植、砍伐树木。</w:t>
      </w:r>
    </w:p>
    <w:p w:rsidR="00250012" w:rsidRDefault="00090AA0">
      <w:pPr>
        <w:spacing w:line="570" w:lineRule="exact"/>
        <w:ind w:firstLineChars="200" w:firstLine="640"/>
        <w:rPr>
          <w:rFonts w:ascii="仿宋_GB2312"/>
        </w:rPr>
      </w:pPr>
      <w:r>
        <w:rPr>
          <w:rFonts w:ascii="仿宋_GB2312" w:hint="eastAsia"/>
        </w:rPr>
        <w:t>因城市建设或者存在安全隐患需要移植树木的，应当经城市绿化主管部门批准。可以采取其他措施避免移植树木的，不得移</w:t>
      </w:r>
      <w:r>
        <w:rPr>
          <w:rFonts w:ascii="仿宋_GB2312" w:hint="eastAsia"/>
        </w:rPr>
        <w:lastRenderedPageBreak/>
        <w:t>植。</w:t>
      </w:r>
    </w:p>
    <w:p w:rsidR="00250012" w:rsidRDefault="00090AA0">
      <w:pPr>
        <w:spacing w:line="570" w:lineRule="exact"/>
        <w:ind w:firstLineChars="200" w:firstLine="640"/>
        <w:rPr>
          <w:rFonts w:ascii="仿宋_GB2312"/>
        </w:rPr>
      </w:pPr>
      <w:r>
        <w:rPr>
          <w:rFonts w:ascii="仿宋_GB2312" w:hint="eastAsia"/>
        </w:rPr>
        <w:t>树木无移植价值的，可以向城市绿化主管部门申请砍伐。</w:t>
      </w:r>
    </w:p>
    <w:p w:rsidR="00250012" w:rsidRDefault="00090AA0">
      <w:pPr>
        <w:spacing w:line="570" w:lineRule="exact"/>
        <w:ind w:firstLineChars="200" w:firstLine="640"/>
        <w:rPr>
          <w:rFonts w:ascii="仿宋_GB2312"/>
        </w:rPr>
      </w:pPr>
      <w:r>
        <w:rPr>
          <w:rFonts w:ascii="黑体" w:eastAsia="黑体" w:hAnsi="黑体" w:hint="eastAsia"/>
        </w:rPr>
        <w:t>第二十二条</w:t>
      </w:r>
      <w:r>
        <w:rPr>
          <w:rFonts w:ascii="仿宋_GB2312" w:hint="eastAsia"/>
        </w:rPr>
        <w:t xml:space="preserve">  经批准移植树木的，申请人应当在适宜树木生长的季节按照有关技术规范进行移植。树木移植后一年内未成活的，应当予以补植。</w:t>
      </w:r>
    </w:p>
    <w:p w:rsidR="00250012" w:rsidRDefault="00090AA0">
      <w:pPr>
        <w:spacing w:line="570" w:lineRule="exact"/>
        <w:ind w:firstLineChars="200" w:firstLine="640"/>
        <w:rPr>
          <w:rFonts w:ascii="仿宋_GB2312"/>
        </w:rPr>
      </w:pPr>
      <w:r>
        <w:rPr>
          <w:rFonts w:ascii="仿宋_GB2312" w:hint="eastAsia"/>
        </w:rPr>
        <w:t>经批准砍伐树木的，申请人应当补植砍伐株数三倍的树木或者采取其他补救措施。</w:t>
      </w:r>
    </w:p>
    <w:p w:rsidR="00250012" w:rsidRDefault="00090AA0">
      <w:pPr>
        <w:spacing w:line="570" w:lineRule="exact"/>
        <w:ind w:firstLineChars="200" w:firstLine="640"/>
        <w:rPr>
          <w:rFonts w:ascii="仿宋_GB2312"/>
        </w:rPr>
      </w:pPr>
      <w:r>
        <w:rPr>
          <w:rFonts w:ascii="黑体" w:eastAsia="黑体" w:hAnsi="黑体" w:hint="eastAsia"/>
        </w:rPr>
        <w:t xml:space="preserve">第二十三条 </w:t>
      </w:r>
      <w:r>
        <w:rPr>
          <w:rFonts w:ascii="仿宋_GB2312" w:hint="eastAsia"/>
        </w:rPr>
        <w:t xml:space="preserve"> 因抢险救灾或者处理突发事件等紧急情况需要移植、砍伐树木的，可以先行处理。紧急情况排除后五日内，有关单位应当向城市绿化主管部门补办相关手续。</w:t>
      </w:r>
    </w:p>
    <w:p w:rsidR="00250012" w:rsidRDefault="00090AA0">
      <w:pPr>
        <w:spacing w:line="570" w:lineRule="exact"/>
        <w:ind w:firstLineChars="200" w:firstLine="640"/>
        <w:rPr>
          <w:rFonts w:ascii="仿宋_GB2312"/>
        </w:rPr>
      </w:pPr>
      <w:r>
        <w:rPr>
          <w:rFonts w:ascii="黑体" w:eastAsia="黑体" w:hAnsi="黑体" w:hint="eastAsia"/>
        </w:rPr>
        <w:t xml:space="preserve">第二十四条 </w:t>
      </w:r>
      <w:r>
        <w:rPr>
          <w:rFonts w:ascii="仿宋_GB2312" w:hint="eastAsia"/>
        </w:rPr>
        <w:t xml:space="preserve"> 建设项目用地范围内有树木的，国土资源主管部门在土地使用权出让或者划拨前应当告知城市绿化主管部门，由城市绿化主管部门提出对树木的处置、保护意见。</w:t>
      </w:r>
    </w:p>
    <w:p w:rsidR="00250012" w:rsidRDefault="00090AA0">
      <w:pPr>
        <w:spacing w:line="570" w:lineRule="exact"/>
        <w:ind w:firstLineChars="200" w:firstLine="640"/>
        <w:rPr>
          <w:rFonts w:ascii="仿宋_GB2312"/>
        </w:rPr>
      </w:pPr>
      <w:r>
        <w:rPr>
          <w:rFonts w:ascii="黑体" w:eastAsia="黑体" w:hAnsi="黑体" w:hint="eastAsia"/>
        </w:rPr>
        <w:t xml:space="preserve">第二十五条 </w:t>
      </w:r>
      <w:r>
        <w:rPr>
          <w:rFonts w:ascii="仿宋_GB2312" w:hint="eastAsia"/>
        </w:rPr>
        <w:t xml:space="preserve"> 敷设各类管线应当避让现有树木，按照有关技术规范保持安全净距。</w:t>
      </w:r>
    </w:p>
    <w:p w:rsidR="00250012" w:rsidRDefault="00090AA0">
      <w:pPr>
        <w:spacing w:line="570" w:lineRule="exact"/>
        <w:ind w:firstLineChars="200" w:firstLine="640"/>
        <w:rPr>
          <w:rFonts w:ascii="仿宋_GB2312"/>
        </w:rPr>
      </w:pPr>
      <w:r>
        <w:rPr>
          <w:rFonts w:ascii="仿宋_GB2312" w:hint="eastAsia"/>
        </w:rPr>
        <w:t>在绿地范围内进行地下设施建设的，在符合有关技术规范的前提下，地下设施上缘应当留有符合植物生长要求的覆土层。</w:t>
      </w:r>
    </w:p>
    <w:p w:rsidR="00250012" w:rsidRDefault="00090AA0">
      <w:pPr>
        <w:spacing w:line="570" w:lineRule="exact"/>
        <w:ind w:firstLineChars="200" w:firstLine="640"/>
        <w:rPr>
          <w:rFonts w:ascii="仿宋_GB2312"/>
        </w:rPr>
      </w:pPr>
      <w:r>
        <w:rPr>
          <w:rFonts w:ascii="黑体" w:eastAsia="黑体" w:hAnsi="黑体" w:hint="eastAsia"/>
        </w:rPr>
        <w:t xml:space="preserve">第二十六条 </w:t>
      </w:r>
      <w:r>
        <w:rPr>
          <w:rFonts w:ascii="仿宋_GB2312" w:hint="eastAsia"/>
        </w:rPr>
        <w:t xml:space="preserve"> 禁止下列损害城市绿化的行为：</w:t>
      </w:r>
    </w:p>
    <w:p w:rsidR="00250012" w:rsidRDefault="00090AA0">
      <w:pPr>
        <w:spacing w:line="570" w:lineRule="exact"/>
        <w:ind w:firstLineChars="200" w:firstLine="640"/>
        <w:rPr>
          <w:rFonts w:ascii="仿宋_GB2312"/>
        </w:rPr>
      </w:pPr>
      <w:r>
        <w:rPr>
          <w:rFonts w:ascii="仿宋_GB2312" w:hint="eastAsia"/>
        </w:rPr>
        <w:t>（一）攀折树枝、剥刮树皮、践踏草坪；</w:t>
      </w:r>
    </w:p>
    <w:p w:rsidR="00250012" w:rsidRDefault="00090AA0">
      <w:pPr>
        <w:spacing w:line="570" w:lineRule="exact"/>
        <w:ind w:firstLineChars="200" w:firstLine="640"/>
        <w:rPr>
          <w:rFonts w:ascii="仿宋_GB2312"/>
        </w:rPr>
      </w:pPr>
      <w:r>
        <w:rPr>
          <w:rFonts w:ascii="仿宋_GB2312" w:hint="eastAsia"/>
        </w:rPr>
        <w:t>（二）擅自采摘花果枝叶、采收种条、采挖种苗；</w:t>
      </w:r>
    </w:p>
    <w:p w:rsidR="00250012" w:rsidRDefault="00090AA0">
      <w:pPr>
        <w:spacing w:line="570" w:lineRule="exact"/>
        <w:ind w:firstLineChars="200" w:firstLine="640"/>
        <w:rPr>
          <w:rFonts w:ascii="仿宋_GB2312"/>
        </w:rPr>
      </w:pPr>
      <w:r>
        <w:rPr>
          <w:rFonts w:ascii="仿宋_GB2312" w:hint="eastAsia"/>
        </w:rPr>
        <w:t>（三）依树搭棚，围圈树木，在树木上刻划、钉钉或者晾晒衣物、悬挂物品、拉设管线；</w:t>
      </w:r>
    </w:p>
    <w:p w:rsidR="00250012" w:rsidRDefault="00090AA0">
      <w:pPr>
        <w:spacing w:line="570" w:lineRule="exact"/>
        <w:ind w:firstLineChars="200" w:firstLine="640"/>
        <w:rPr>
          <w:rFonts w:ascii="仿宋_GB2312"/>
        </w:rPr>
      </w:pPr>
      <w:r>
        <w:rPr>
          <w:rFonts w:ascii="仿宋_GB2312" w:hint="eastAsia"/>
        </w:rPr>
        <w:lastRenderedPageBreak/>
        <w:t>（四）在绿地内种植农作物、饲养家禽家畜；</w:t>
      </w:r>
    </w:p>
    <w:p w:rsidR="00250012" w:rsidRDefault="00090AA0">
      <w:pPr>
        <w:spacing w:line="570" w:lineRule="exact"/>
        <w:ind w:firstLineChars="200" w:firstLine="640"/>
        <w:rPr>
          <w:rFonts w:ascii="仿宋_GB2312"/>
        </w:rPr>
      </w:pPr>
      <w:r>
        <w:rPr>
          <w:rFonts w:ascii="仿宋_GB2312" w:hint="eastAsia"/>
        </w:rPr>
        <w:t>（五）擅自在绿地内设置各类摊点；</w:t>
      </w:r>
    </w:p>
    <w:p w:rsidR="00250012" w:rsidRDefault="00090AA0">
      <w:pPr>
        <w:spacing w:line="570" w:lineRule="exact"/>
        <w:ind w:firstLineChars="200" w:firstLine="640"/>
        <w:rPr>
          <w:rFonts w:ascii="仿宋_GB2312"/>
        </w:rPr>
      </w:pPr>
      <w:r>
        <w:rPr>
          <w:rFonts w:ascii="仿宋_GB2312" w:hint="eastAsia"/>
        </w:rPr>
        <w:t>（六）在绿地内堆物、焚烧物品、丢弃废弃物或者倾倒有毒有害物质；</w:t>
      </w:r>
    </w:p>
    <w:p w:rsidR="00250012" w:rsidRDefault="00090AA0">
      <w:pPr>
        <w:spacing w:line="570" w:lineRule="exact"/>
        <w:ind w:firstLineChars="200" w:firstLine="640"/>
        <w:rPr>
          <w:rFonts w:ascii="仿宋_GB2312"/>
        </w:rPr>
      </w:pPr>
      <w:r>
        <w:rPr>
          <w:rFonts w:ascii="仿宋_GB2312" w:hint="eastAsia"/>
        </w:rPr>
        <w:t>（七）擅自在绿地内挖坑取土、搭建建（构）筑物、设置广告；</w:t>
      </w:r>
    </w:p>
    <w:p w:rsidR="00250012" w:rsidRDefault="00090AA0">
      <w:pPr>
        <w:spacing w:line="570" w:lineRule="exact"/>
        <w:ind w:firstLineChars="200" w:firstLine="640"/>
        <w:rPr>
          <w:rFonts w:ascii="仿宋_GB2312"/>
        </w:rPr>
      </w:pPr>
      <w:r>
        <w:rPr>
          <w:rFonts w:ascii="仿宋_GB2312" w:hint="eastAsia"/>
        </w:rPr>
        <w:t>（八）损坏喷灌、雕塑、护栏等绿化设施及绿地内的其他附属设施；</w:t>
      </w:r>
    </w:p>
    <w:p w:rsidR="00250012" w:rsidRDefault="00090AA0">
      <w:pPr>
        <w:spacing w:line="570" w:lineRule="exact"/>
        <w:ind w:firstLineChars="200" w:firstLine="640"/>
        <w:rPr>
          <w:rFonts w:ascii="仿宋_GB2312"/>
        </w:rPr>
      </w:pPr>
      <w:r>
        <w:rPr>
          <w:rFonts w:ascii="仿宋_GB2312" w:hint="eastAsia"/>
        </w:rPr>
        <w:t>（九）其他损害城市绿化的行为。</w:t>
      </w:r>
    </w:p>
    <w:p w:rsidR="00250012" w:rsidRDefault="00090AA0">
      <w:pPr>
        <w:spacing w:line="570" w:lineRule="exact"/>
        <w:ind w:firstLineChars="200" w:firstLine="640"/>
        <w:rPr>
          <w:rFonts w:ascii="仿宋_GB2312"/>
        </w:rPr>
      </w:pPr>
      <w:r>
        <w:rPr>
          <w:rFonts w:ascii="黑体" w:eastAsia="黑体" w:hAnsi="黑体" w:hint="eastAsia"/>
        </w:rPr>
        <w:t xml:space="preserve">第二十七条 </w:t>
      </w:r>
      <w:r>
        <w:rPr>
          <w:rFonts w:ascii="仿宋_GB2312" w:hint="eastAsia"/>
        </w:rPr>
        <w:t xml:space="preserve"> 城市绿化主管部门应当对古树名木建立档案，设立标志，实行统一管理。</w:t>
      </w:r>
    </w:p>
    <w:p w:rsidR="00250012" w:rsidRDefault="00090AA0">
      <w:pPr>
        <w:spacing w:line="570" w:lineRule="exact"/>
        <w:ind w:firstLineChars="200" w:firstLine="640"/>
        <w:rPr>
          <w:rFonts w:ascii="仿宋_GB2312"/>
        </w:rPr>
      </w:pPr>
      <w:r>
        <w:rPr>
          <w:rFonts w:ascii="仿宋_GB2312" w:hint="eastAsia"/>
        </w:rPr>
        <w:t>单位管界和个人庭院内的古树名木，其所在单位和个人应当按照有关技术规范落实养护管理措施。</w:t>
      </w:r>
    </w:p>
    <w:p w:rsidR="00250012" w:rsidRDefault="00090AA0">
      <w:pPr>
        <w:spacing w:line="570" w:lineRule="exact"/>
        <w:ind w:firstLineChars="200" w:firstLine="640"/>
        <w:rPr>
          <w:rFonts w:ascii="仿宋_GB2312"/>
        </w:rPr>
      </w:pPr>
      <w:r>
        <w:rPr>
          <w:rFonts w:ascii="仿宋_GB2312" w:hint="eastAsia"/>
        </w:rPr>
        <w:t>严禁砍伐和擅自移植古树名木。因公共利益确需移植的，应当按照国家、省有关规定报批。</w:t>
      </w:r>
    </w:p>
    <w:p w:rsidR="00250012" w:rsidRDefault="00090AA0">
      <w:pPr>
        <w:spacing w:line="570" w:lineRule="exact"/>
        <w:ind w:firstLineChars="200" w:firstLine="640"/>
        <w:rPr>
          <w:rFonts w:ascii="仿宋_GB2312"/>
        </w:rPr>
      </w:pPr>
      <w:r>
        <w:rPr>
          <w:rFonts w:ascii="黑体" w:eastAsia="黑体" w:hAnsi="黑体" w:hint="eastAsia"/>
        </w:rPr>
        <w:t>第二十八条</w:t>
      </w:r>
      <w:r>
        <w:rPr>
          <w:rFonts w:ascii="仿宋_GB2312" w:hint="eastAsia"/>
        </w:rPr>
        <w:t xml:space="preserve">  城市绿化主管部门应当会同有关部门编制绿化防灾应急预案，建立植物疫情监测预报网络，健全有害生物预警防控体系，加强绿化植物检疫和有害生物防治。</w:t>
      </w:r>
    </w:p>
    <w:p w:rsidR="00250012" w:rsidRDefault="00090AA0">
      <w:pPr>
        <w:spacing w:line="570" w:lineRule="exact"/>
        <w:ind w:firstLineChars="200" w:firstLine="640"/>
        <w:rPr>
          <w:rFonts w:ascii="仿宋_GB2312"/>
        </w:rPr>
      </w:pPr>
      <w:r>
        <w:rPr>
          <w:rFonts w:ascii="黑体" w:eastAsia="黑体" w:hAnsi="黑体" w:hint="eastAsia"/>
        </w:rPr>
        <w:t xml:space="preserve">第二十九条 </w:t>
      </w:r>
      <w:r>
        <w:rPr>
          <w:rFonts w:ascii="仿宋_GB2312" w:hint="eastAsia"/>
        </w:rPr>
        <w:t xml:space="preserve"> 城市绿化主管部门应当对绿化工程的勘察、设计、施工、监理以及招标投标活动进行监督管理，建立健全绿化建设市场信用监管机制。</w:t>
      </w:r>
    </w:p>
    <w:p w:rsidR="00250012" w:rsidRDefault="00090AA0">
      <w:pPr>
        <w:spacing w:line="570" w:lineRule="exact"/>
        <w:ind w:firstLineChars="200" w:firstLine="640"/>
        <w:rPr>
          <w:rFonts w:ascii="仿宋_GB2312"/>
        </w:rPr>
      </w:pPr>
      <w:r>
        <w:rPr>
          <w:rFonts w:ascii="黑体" w:eastAsia="黑体" w:hAnsi="黑体" w:hint="eastAsia"/>
        </w:rPr>
        <w:t xml:space="preserve">第三十条 </w:t>
      </w:r>
      <w:r>
        <w:rPr>
          <w:rFonts w:ascii="仿宋_GB2312" w:hint="eastAsia"/>
        </w:rPr>
        <w:t xml:space="preserve"> 城市绿化主管部门应当加强城市绿化的资源调</w:t>
      </w:r>
      <w:r>
        <w:rPr>
          <w:rFonts w:ascii="仿宋_GB2312" w:hint="eastAsia"/>
        </w:rPr>
        <w:lastRenderedPageBreak/>
        <w:t>查、监测，建立健全城市绿化管理信息系统。</w:t>
      </w:r>
    </w:p>
    <w:p w:rsidR="00250012" w:rsidRDefault="00090AA0">
      <w:pPr>
        <w:spacing w:line="570" w:lineRule="exact"/>
        <w:ind w:firstLineChars="200" w:firstLine="640"/>
        <w:rPr>
          <w:rFonts w:ascii="仿宋_GB2312"/>
        </w:rPr>
      </w:pPr>
      <w:r>
        <w:rPr>
          <w:rFonts w:ascii="仿宋_GB2312" w:hint="eastAsia"/>
        </w:rPr>
        <w:t>下列城市绿化规划、建设、养护和管理等信息应当自形成或者批准之日起二十日内向社会公开：</w:t>
      </w:r>
    </w:p>
    <w:p w:rsidR="00250012" w:rsidRDefault="00090AA0">
      <w:pPr>
        <w:spacing w:line="570" w:lineRule="exact"/>
        <w:ind w:firstLineChars="200" w:firstLine="640"/>
        <w:rPr>
          <w:rFonts w:ascii="仿宋_GB2312"/>
        </w:rPr>
      </w:pPr>
      <w:r>
        <w:rPr>
          <w:rFonts w:ascii="仿宋_GB2312" w:hint="eastAsia"/>
        </w:rPr>
        <w:t>（一）经依法批准或者批准修改的城市绿地系统规划；</w:t>
      </w:r>
    </w:p>
    <w:p w:rsidR="00250012" w:rsidRDefault="00090AA0">
      <w:pPr>
        <w:spacing w:line="570" w:lineRule="exact"/>
        <w:ind w:firstLineChars="200" w:firstLine="640"/>
        <w:rPr>
          <w:rFonts w:ascii="仿宋_GB2312"/>
        </w:rPr>
      </w:pPr>
      <w:r>
        <w:rPr>
          <w:rFonts w:ascii="仿宋_GB2312" w:hint="eastAsia"/>
        </w:rPr>
        <w:t>（二）经依法划定或者调整的城市绿线；</w:t>
      </w:r>
    </w:p>
    <w:p w:rsidR="00250012" w:rsidRDefault="00090AA0">
      <w:pPr>
        <w:spacing w:line="570" w:lineRule="exact"/>
        <w:ind w:firstLineChars="200" w:firstLine="640"/>
        <w:rPr>
          <w:rFonts w:ascii="仿宋_GB2312"/>
        </w:rPr>
      </w:pPr>
      <w:r>
        <w:rPr>
          <w:rFonts w:ascii="仿宋_GB2312" w:hint="eastAsia"/>
        </w:rPr>
        <w:t>（三）城市绿化行政许可条件、程序及依法作出的行政许可决定；</w:t>
      </w:r>
    </w:p>
    <w:p w:rsidR="00250012" w:rsidRDefault="00090AA0">
      <w:pPr>
        <w:spacing w:line="570" w:lineRule="exact"/>
        <w:ind w:firstLineChars="200" w:firstLine="640"/>
        <w:rPr>
          <w:rFonts w:ascii="仿宋_GB2312"/>
        </w:rPr>
      </w:pPr>
      <w:r>
        <w:rPr>
          <w:rFonts w:ascii="仿宋_GB2312" w:hint="eastAsia"/>
        </w:rPr>
        <w:t>（四）城市绿化监督检查的情况及处理结果；</w:t>
      </w:r>
    </w:p>
    <w:p w:rsidR="00250012" w:rsidRDefault="00090AA0">
      <w:pPr>
        <w:spacing w:line="570" w:lineRule="exact"/>
        <w:ind w:firstLineChars="200" w:firstLine="640"/>
        <w:rPr>
          <w:rFonts w:ascii="仿宋_GB2312"/>
        </w:rPr>
      </w:pPr>
      <w:r>
        <w:rPr>
          <w:rFonts w:ascii="仿宋_GB2312" w:hint="eastAsia"/>
        </w:rPr>
        <w:t>（五）其他依法应当公开的信息。</w:t>
      </w:r>
    </w:p>
    <w:p w:rsidR="00250012" w:rsidRDefault="00090AA0">
      <w:pPr>
        <w:spacing w:line="570" w:lineRule="exact"/>
        <w:ind w:firstLineChars="200" w:firstLine="640"/>
        <w:rPr>
          <w:rFonts w:ascii="仿宋_GB2312"/>
        </w:rPr>
      </w:pPr>
      <w:r>
        <w:rPr>
          <w:rFonts w:ascii="黑体" w:eastAsia="黑体" w:hAnsi="黑体" w:hint="eastAsia"/>
        </w:rPr>
        <w:t xml:space="preserve">第三十一条 </w:t>
      </w:r>
      <w:r>
        <w:rPr>
          <w:rFonts w:ascii="仿宋_GB2312" w:hint="eastAsia"/>
        </w:rPr>
        <w:t xml:space="preserve"> 有下列行为之一的，由城市管理综合执法部门按照下列规定予以处罚；造成损失的，依法承担赔偿责任：</w:t>
      </w:r>
    </w:p>
    <w:p w:rsidR="00250012" w:rsidRDefault="00090AA0">
      <w:pPr>
        <w:spacing w:line="570" w:lineRule="exact"/>
        <w:ind w:firstLineChars="200" w:firstLine="640"/>
        <w:rPr>
          <w:rFonts w:ascii="仿宋_GB2312"/>
        </w:rPr>
      </w:pPr>
      <w:r>
        <w:rPr>
          <w:rFonts w:ascii="仿宋_GB2312" w:hint="eastAsia"/>
        </w:rPr>
        <w:t>（一）违反本条例第十二条规定，建设项目竣工后，未达到配套绿地率指标的，责令限期改正；逾期仍未达到的，处所缺绿地面积土地征地费和绿化建设费之和一倍以上三倍以下罚款。</w:t>
      </w:r>
    </w:p>
    <w:p w:rsidR="00250012" w:rsidRDefault="00090AA0">
      <w:pPr>
        <w:spacing w:line="570" w:lineRule="exact"/>
        <w:ind w:firstLineChars="200" w:firstLine="640"/>
        <w:rPr>
          <w:rFonts w:ascii="仿宋_GB2312"/>
        </w:rPr>
      </w:pPr>
      <w:r>
        <w:rPr>
          <w:rFonts w:ascii="仿宋_GB2312" w:hint="eastAsia"/>
        </w:rPr>
        <w:t>（二）违反本条例第十四条第一款规定，建设单位未按规定时间完成配套绿化工程建设的，责令限期完成；逾期未完成的，处未完成绿化工程预算费一倍以上三倍以下罚款。</w:t>
      </w:r>
    </w:p>
    <w:p w:rsidR="00250012" w:rsidRDefault="00090AA0">
      <w:pPr>
        <w:spacing w:line="570" w:lineRule="exact"/>
        <w:ind w:firstLineChars="200" w:firstLine="640"/>
        <w:rPr>
          <w:rFonts w:ascii="仿宋_GB2312"/>
        </w:rPr>
      </w:pPr>
      <w:r>
        <w:rPr>
          <w:rFonts w:ascii="仿宋_GB2312" w:hint="eastAsia"/>
        </w:rPr>
        <w:t>（三）违反本条例第十六条规定，擅自改变城市绿地性质的，责令限期改正，并处每平方米五百元以上一千元以下罚款。</w:t>
      </w:r>
    </w:p>
    <w:p w:rsidR="00250012" w:rsidRDefault="00090AA0">
      <w:pPr>
        <w:spacing w:line="570" w:lineRule="exact"/>
        <w:ind w:firstLineChars="200" w:firstLine="640"/>
        <w:rPr>
          <w:rFonts w:ascii="仿宋_GB2312"/>
        </w:rPr>
      </w:pPr>
      <w:r>
        <w:rPr>
          <w:rFonts w:ascii="仿宋_GB2312" w:hint="eastAsia"/>
        </w:rPr>
        <w:t>（四）违反本条例第十七条规定，擅自占用城市绿地的，责令限期改正，并按实际占用时间、面积处每日每平方米五十元罚款；逾期未改正的，自逾期之日起处每日每平方米一百元罚款。</w:t>
      </w:r>
    </w:p>
    <w:p w:rsidR="00250012" w:rsidRDefault="00090AA0">
      <w:pPr>
        <w:spacing w:line="570" w:lineRule="exact"/>
        <w:ind w:firstLineChars="200" w:firstLine="640"/>
        <w:rPr>
          <w:rFonts w:ascii="仿宋_GB2312"/>
        </w:rPr>
      </w:pPr>
      <w:r>
        <w:rPr>
          <w:rFonts w:ascii="仿宋_GB2312" w:hint="eastAsia"/>
        </w:rPr>
        <w:lastRenderedPageBreak/>
        <w:t>（五）违反本条例第二十一条规定，擅自移植、砍伐树木的，责令停止违法行为，并处树木价值一倍以上三倍以下罚款。</w:t>
      </w:r>
    </w:p>
    <w:p w:rsidR="00250012" w:rsidRDefault="00090AA0">
      <w:pPr>
        <w:spacing w:line="570" w:lineRule="exact"/>
        <w:ind w:firstLineChars="200" w:firstLine="640"/>
        <w:rPr>
          <w:rFonts w:ascii="仿宋_GB2312"/>
        </w:rPr>
      </w:pPr>
      <w:r>
        <w:rPr>
          <w:rFonts w:ascii="仿宋_GB2312" w:hint="eastAsia"/>
        </w:rPr>
        <w:t>（六）违反本条例第二十六条第一项至第五项禁止行为的，责令停止侵害、恢复原状，可以并处五十元以上二百元以下罚款。</w:t>
      </w:r>
    </w:p>
    <w:p w:rsidR="00250012" w:rsidRDefault="00090AA0">
      <w:pPr>
        <w:spacing w:line="570" w:lineRule="exact"/>
        <w:ind w:firstLineChars="200" w:firstLine="640"/>
        <w:rPr>
          <w:rFonts w:ascii="仿宋_GB2312"/>
        </w:rPr>
      </w:pPr>
      <w:r>
        <w:rPr>
          <w:rFonts w:ascii="仿宋_GB2312" w:hint="eastAsia"/>
        </w:rPr>
        <w:t>（七）违反本条例第二十六条第六项至第八项禁止行为的，责令停止侵害、恢复原状，并处二百元以上一千元以下罚款；情节严重的，处一千元以上三千元以下罚款。</w:t>
      </w:r>
    </w:p>
    <w:p w:rsidR="00250012" w:rsidRDefault="00090AA0">
      <w:pPr>
        <w:spacing w:line="570" w:lineRule="exact"/>
        <w:ind w:firstLineChars="200" w:firstLine="640"/>
        <w:rPr>
          <w:rFonts w:ascii="仿宋_GB2312"/>
        </w:rPr>
      </w:pPr>
      <w:r>
        <w:rPr>
          <w:rFonts w:ascii="仿宋_GB2312" w:hint="eastAsia"/>
        </w:rPr>
        <w:t>（八）违反本条例第二十七条第三款规定，擅自移植古树名木的，追缴树木，没收其违法所得，并处树木价值三倍以上五倍以下罚款；擅自移植致使古树名木死亡或者砍伐古树名木的，处树木价值五倍以上十倍以下罚款；构成犯罪的，依法追究刑事责任。</w:t>
      </w:r>
    </w:p>
    <w:p w:rsidR="00250012" w:rsidRDefault="00090AA0">
      <w:pPr>
        <w:spacing w:line="570" w:lineRule="exact"/>
        <w:ind w:firstLineChars="200" w:firstLine="640"/>
        <w:rPr>
          <w:rFonts w:ascii="仿宋_GB2312"/>
        </w:rPr>
      </w:pPr>
      <w:r>
        <w:rPr>
          <w:rFonts w:ascii="黑体" w:eastAsia="黑体" w:hAnsi="黑体" w:hint="eastAsia"/>
        </w:rPr>
        <w:t xml:space="preserve">第三十二条 </w:t>
      </w:r>
      <w:r>
        <w:rPr>
          <w:rFonts w:ascii="仿宋_GB2312" w:hint="eastAsia"/>
        </w:rPr>
        <w:t xml:space="preserve"> 城市绿化主管部门和有关部门工作人员玩忽职守、滥用职权、徇私舞弊的，由其所在单位、上级主管部门或者监察机关依法给予行政处分；构成犯罪的，依法追究刑事责任。</w:t>
      </w:r>
    </w:p>
    <w:p w:rsidR="00250012" w:rsidRDefault="00090AA0">
      <w:pPr>
        <w:spacing w:line="570" w:lineRule="exact"/>
        <w:ind w:firstLineChars="200" w:firstLine="640"/>
        <w:rPr>
          <w:rFonts w:ascii="仿宋_GB2312"/>
        </w:rPr>
      </w:pPr>
      <w:r>
        <w:rPr>
          <w:rFonts w:ascii="黑体" w:eastAsia="黑体" w:hAnsi="黑体" w:hint="eastAsia"/>
        </w:rPr>
        <w:t xml:space="preserve">第三十三条  </w:t>
      </w:r>
      <w:r>
        <w:rPr>
          <w:rFonts w:ascii="仿宋_GB2312" w:hint="eastAsia"/>
        </w:rPr>
        <w:t>本条例自2018年5月1日起施行。</w:t>
      </w:r>
    </w:p>
    <w:p w:rsidR="00250012" w:rsidRDefault="00250012">
      <w:pPr>
        <w:spacing w:line="570" w:lineRule="exact"/>
        <w:ind w:firstLineChars="200" w:firstLine="640"/>
        <w:rPr>
          <w:rFonts w:ascii="黑体" w:eastAsia="黑体" w:hAnsi="黑体" w:cs="黑体"/>
          <w:kern w:val="0"/>
        </w:rPr>
      </w:pPr>
    </w:p>
    <w:p w:rsidR="00250012" w:rsidRDefault="00250012">
      <w:pPr>
        <w:pStyle w:val="a5"/>
        <w:spacing w:line="570" w:lineRule="exact"/>
        <w:ind w:leftChars="0" w:left="0" w:rightChars="272" w:right="870"/>
        <w:rPr>
          <w:rFonts w:ascii="仿宋_GB2312" w:eastAsia="仿宋_GB2312" w:hAnsi="仿宋_GB2312" w:cs="Times New Roman"/>
          <w:sz w:val="32"/>
          <w:szCs w:val="32"/>
        </w:rPr>
      </w:pPr>
    </w:p>
    <w:sectPr w:rsidR="00250012">
      <w:footerReference w:type="even" r:id="rId7"/>
      <w:footerReference w:type="default" r:id="rId8"/>
      <w:pgSz w:w="11906" w:h="16838"/>
      <w:pgMar w:top="2098" w:right="1531" w:bottom="1985" w:left="1531" w:header="851" w:footer="1814" w:gutter="0"/>
      <w:pgNumType w:start="4"/>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AB2" w:rsidRDefault="007C7AB2">
      <w:r>
        <w:separator/>
      </w:r>
    </w:p>
  </w:endnote>
  <w:endnote w:type="continuationSeparator" w:id="0">
    <w:p w:rsidR="007C7AB2" w:rsidRDefault="007C7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
    <w:altName w:val="Times New Roman"/>
    <w:charset w:val="00"/>
    <w:family w:val="roman"/>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012" w:rsidRDefault="00090AA0">
    <w:pPr>
      <w:pStyle w:val="a7"/>
      <w:framePr w:wrap="around" w:vAnchor="text" w:hAnchor="margin" w:xAlign="outside" w:y="1"/>
      <w:rPr>
        <w:rStyle w:val="ac"/>
      </w:rPr>
    </w:pPr>
    <w:r>
      <w:rPr>
        <w:rStyle w:val="ac"/>
        <w:rFonts w:ascii="宋体" w:eastAsia="宋体" w:hAnsi="宋体" w:cs="宋体"/>
        <w:color w:val="FFFFFF"/>
        <w:sz w:val="28"/>
        <w:szCs w:val="28"/>
      </w:rPr>
      <w:t>—</w:t>
    </w:r>
    <w:r>
      <w:rPr>
        <w:rStyle w:val="ac"/>
        <w:rFonts w:ascii="宋体" w:eastAsia="宋体" w:hAnsi="宋体" w:cs="宋体"/>
        <w:sz w:val="28"/>
        <w:szCs w:val="28"/>
      </w:rPr>
      <w:t xml:space="preserve">— </w:t>
    </w:r>
    <w:r>
      <w:rPr>
        <w:rFonts w:ascii="宋体" w:eastAsia="宋体" w:hAnsi="宋体" w:cs="宋体"/>
        <w:sz w:val="28"/>
        <w:szCs w:val="28"/>
      </w:rPr>
      <w:fldChar w:fldCharType="begin"/>
    </w:r>
    <w:r>
      <w:rPr>
        <w:rStyle w:val="ac"/>
        <w:rFonts w:ascii="宋体" w:eastAsia="宋体" w:hAnsi="宋体" w:cs="宋体"/>
        <w:sz w:val="28"/>
        <w:szCs w:val="28"/>
      </w:rPr>
      <w:instrText xml:space="preserve">PAGE  </w:instrText>
    </w:r>
    <w:r>
      <w:rPr>
        <w:rFonts w:ascii="宋体" w:eastAsia="宋体" w:hAnsi="宋体" w:cs="宋体"/>
        <w:sz w:val="28"/>
        <w:szCs w:val="28"/>
      </w:rPr>
      <w:fldChar w:fldCharType="separate"/>
    </w:r>
    <w:r w:rsidR="00363411">
      <w:rPr>
        <w:rStyle w:val="ac"/>
        <w:rFonts w:ascii="宋体" w:eastAsia="宋体" w:hAnsi="宋体" w:cs="宋体"/>
        <w:noProof/>
        <w:sz w:val="28"/>
        <w:szCs w:val="28"/>
      </w:rPr>
      <w:t>4</w:t>
    </w:r>
    <w:r>
      <w:rPr>
        <w:rFonts w:ascii="宋体" w:eastAsia="宋体" w:hAnsi="宋体" w:cs="宋体"/>
        <w:sz w:val="28"/>
        <w:szCs w:val="28"/>
      </w:rPr>
      <w:fldChar w:fldCharType="end"/>
    </w:r>
    <w:r>
      <w:rPr>
        <w:rStyle w:val="ac"/>
        <w:rFonts w:ascii="宋体" w:eastAsia="宋体" w:hAnsi="宋体" w:cs="宋体"/>
        <w:sz w:val="28"/>
        <w:szCs w:val="28"/>
      </w:rPr>
      <w:t xml:space="preserve"> —</w:t>
    </w:r>
  </w:p>
  <w:p w:rsidR="00250012" w:rsidRDefault="00250012">
    <w:pPr>
      <w:pStyle w:val="a7"/>
      <w:ind w:right="360" w:firstLine="360"/>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012" w:rsidRDefault="00090AA0">
    <w:pPr>
      <w:pStyle w:val="a7"/>
      <w:framePr w:wrap="around" w:vAnchor="text" w:hAnchor="margin" w:xAlign="outside" w:y="1"/>
      <w:rPr>
        <w:rStyle w:val="ac"/>
        <w:rFonts w:ascii="宋体" w:eastAsia="宋体" w:hAnsi="宋体"/>
        <w:sz w:val="28"/>
        <w:szCs w:val="28"/>
      </w:rPr>
    </w:pPr>
    <w:r>
      <w:rPr>
        <w:rStyle w:val="ac"/>
        <w:rFonts w:ascii="宋体" w:eastAsia="宋体" w:hAnsi="宋体" w:cs="宋体"/>
        <w:sz w:val="28"/>
        <w:szCs w:val="28"/>
      </w:rPr>
      <w:t xml:space="preserve">— </w:t>
    </w:r>
    <w:r>
      <w:rPr>
        <w:rFonts w:ascii="宋体" w:eastAsia="宋体" w:hAnsi="宋体" w:cs="宋体"/>
        <w:sz w:val="28"/>
        <w:szCs w:val="28"/>
      </w:rPr>
      <w:fldChar w:fldCharType="begin"/>
    </w:r>
    <w:r>
      <w:rPr>
        <w:rStyle w:val="ac"/>
        <w:rFonts w:ascii="宋体" w:eastAsia="宋体" w:hAnsi="宋体" w:cs="宋体"/>
        <w:sz w:val="28"/>
        <w:szCs w:val="28"/>
      </w:rPr>
      <w:instrText xml:space="preserve">PAGE  </w:instrText>
    </w:r>
    <w:r>
      <w:rPr>
        <w:rFonts w:ascii="宋体" w:eastAsia="宋体" w:hAnsi="宋体" w:cs="宋体"/>
        <w:sz w:val="28"/>
        <w:szCs w:val="28"/>
      </w:rPr>
      <w:fldChar w:fldCharType="separate"/>
    </w:r>
    <w:r w:rsidR="00363411">
      <w:rPr>
        <w:rStyle w:val="ac"/>
        <w:rFonts w:ascii="宋体" w:eastAsia="宋体" w:hAnsi="宋体" w:cs="宋体"/>
        <w:noProof/>
        <w:sz w:val="28"/>
        <w:szCs w:val="28"/>
      </w:rPr>
      <w:t>13</w:t>
    </w:r>
    <w:r>
      <w:rPr>
        <w:rFonts w:ascii="宋体" w:eastAsia="宋体" w:hAnsi="宋体" w:cs="宋体"/>
        <w:sz w:val="28"/>
        <w:szCs w:val="28"/>
      </w:rPr>
      <w:fldChar w:fldCharType="end"/>
    </w:r>
    <w:r>
      <w:rPr>
        <w:rStyle w:val="ac"/>
        <w:rFonts w:ascii="宋体" w:eastAsia="宋体" w:hAnsi="宋体" w:cs="宋体"/>
        <w:sz w:val="28"/>
        <w:szCs w:val="28"/>
      </w:rPr>
      <w:t xml:space="preserve"> —</w:t>
    </w:r>
    <w:r>
      <w:rPr>
        <w:rStyle w:val="ac"/>
        <w:rFonts w:ascii="宋体" w:eastAsia="宋体" w:hAnsi="宋体" w:cs="宋体"/>
        <w:color w:val="FFFFFF"/>
        <w:sz w:val="28"/>
        <w:szCs w:val="28"/>
      </w:rPr>
      <w:t>—</w:t>
    </w:r>
  </w:p>
  <w:p w:rsidR="00250012" w:rsidRDefault="00090AA0">
    <w:pPr>
      <w:pStyle w:val="a7"/>
      <w:ind w:right="360" w:firstLine="360"/>
      <w:rPr>
        <w:rFonts w:cs="Times New Roman"/>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AB2" w:rsidRDefault="007C7AB2">
      <w:r>
        <w:separator/>
      </w:r>
    </w:p>
  </w:footnote>
  <w:footnote w:type="continuationSeparator" w:id="0">
    <w:p w:rsidR="007C7AB2" w:rsidRDefault="007C7A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oNotHyphenateCaps/>
  <w:evenAndOddHeaders/>
  <w:drawingGridHorizontalSpacing w:val="158"/>
  <w:drawingGridVerticalSpacing w:val="290"/>
  <w:displayHorizontalDrawingGridEvery w:val="2"/>
  <w:displayVerticalDrawingGridEvery w:val="2"/>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F24"/>
    <w:rsid w:val="0002452E"/>
    <w:rsid w:val="00034A43"/>
    <w:rsid w:val="00082BCC"/>
    <w:rsid w:val="00086B25"/>
    <w:rsid w:val="00090AA0"/>
    <w:rsid w:val="00092238"/>
    <w:rsid w:val="000E2B02"/>
    <w:rsid w:val="000E5AA9"/>
    <w:rsid w:val="000F4BA1"/>
    <w:rsid w:val="00124068"/>
    <w:rsid w:val="0013037B"/>
    <w:rsid w:val="00132609"/>
    <w:rsid w:val="00140855"/>
    <w:rsid w:val="0016148E"/>
    <w:rsid w:val="00193D96"/>
    <w:rsid w:val="001C3665"/>
    <w:rsid w:val="001F6B91"/>
    <w:rsid w:val="002008B3"/>
    <w:rsid w:val="002436B4"/>
    <w:rsid w:val="00246F07"/>
    <w:rsid w:val="00250012"/>
    <w:rsid w:val="002D1FA9"/>
    <w:rsid w:val="002E5011"/>
    <w:rsid w:val="00335FD6"/>
    <w:rsid w:val="00363411"/>
    <w:rsid w:val="003B625C"/>
    <w:rsid w:val="003C4182"/>
    <w:rsid w:val="003D12D9"/>
    <w:rsid w:val="003D5777"/>
    <w:rsid w:val="003E6683"/>
    <w:rsid w:val="003E723A"/>
    <w:rsid w:val="004024D1"/>
    <w:rsid w:val="0042394E"/>
    <w:rsid w:val="00444088"/>
    <w:rsid w:val="00450C4E"/>
    <w:rsid w:val="00456091"/>
    <w:rsid w:val="004A5D5D"/>
    <w:rsid w:val="004B03F2"/>
    <w:rsid w:val="004B4A60"/>
    <w:rsid w:val="004D53B0"/>
    <w:rsid w:val="004F4648"/>
    <w:rsid w:val="004F74AE"/>
    <w:rsid w:val="00504318"/>
    <w:rsid w:val="005327C7"/>
    <w:rsid w:val="00556C3F"/>
    <w:rsid w:val="0058466F"/>
    <w:rsid w:val="00594F68"/>
    <w:rsid w:val="005A1F4F"/>
    <w:rsid w:val="005A71FE"/>
    <w:rsid w:val="005B059B"/>
    <w:rsid w:val="005C0C8C"/>
    <w:rsid w:val="005E2CBD"/>
    <w:rsid w:val="0061444D"/>
    <w:rsid w:val="00631813"/>
    <w:rsid w:val="006963C7"/>
    <w:rsid w:val="006C2939"/>
    <w:rsid w:val="00731800"/>
    <w:rsid w:val="007352AA"/>
    <w:rsid w:val="00737469"/>
    <w:rsid w:val="007460DF"/>
    <w:rsid w:val="0075053D"/>
    <w:rsid w:val="0076169B"/>
    <w:rsid w:val="007A2B25"/>
    <w:rsid w:val="007B3AB6"/>
    <w:rsid w:val="007C4346"/>
    <w:rsid w:val="007C7AB2"/>
    <w:rsid w:val="007D0F4F"/>
    <w:rsid w:val="007D39A4"/>
    <w:rsid w:val="007E59D2"/>
    <w:rsid w:val="00844191"/>
    <w:rsid w:val="008478D8"/>
    <w:rsid w:val="00861E27"/>
    <w:rsid w:val="00866F24"/>
    <w:rsid w:val="008678F7"/>
    <w:rsid w:val="0087519B"/>
    <w:rsid w:val="00894DA9"/>
    <w:rsid w:val="008A5431"/>
    <w:rsid w:val="008B3D39"/>
    <w:rsid w:val="008C2180"/>
    <w:rsid w:val="008D6518"/>
    <w:rsid w:val="008E46E6"/>
    <w:rsid w:val="0090329D"/>
    <w:rsid w:val="00905A32"/>
    <w:rsid w:val="009460FE"/>
    <w:rsid w:val="00976B02"/>
    <w:rsid w:val="0098647D"/>
    <w:rsid w:val="009B04F1"/>
    <w:rsid w:val="009B1066"/>
    <w:rsid w:val="009B135E"/>
    <w:rsid w:val="009C7419"/>
    <w:rsid w:val="009D4840"/>
    <w:rsid w:val="009F68B9"/>
    <w:rsid w:val="009F78EE"/>
    <w:rsid w:val="00A13C75"/>
    <w:rsid w:val="00A21E90"/>
    <w:rsid w:val="00A32792"/>
    <w:rsid w:val="00A5461B"/>
    <w:rsid w:val="00A86514"/>
    <w:rsid w:val="00A94EE9"/>
    <w:rsid w:val="00AA3AAF"/>
    <w:rsid w:val="00AA4D03"/>
    <w:rsid w:val="00AA7790"/>
    <w:rsid w:val="00AF77AE"/>
    <w:rsid w:val="00AF7F46"/>
    <w:rsid w:val="00B11BAB"/>
    <w:rsid w:val="00B213CC"/>
    <w:rsid w:val="00B37E5F"/>
    <w:rsid w:val="00B74CB3"/>
    <w:rsid w:val="00BB1A98"/>
    <w:rsid w:val="00BB6D7F"/>
    <w:rsid w:val="00BD6D29"/>
    <w:rsid w:val="00BE4ED9"/>
    <w:rsid w:val="00BE547F"/>
    <w:rsid w:val="00C05DE5"/>
    <w:rsid w:val="00C303D3"/>
    <w:rsid w:val="00C433B7"/>
    <w:rsid w:val="00C466CE"/>
    <w:rsid w:val="00C66F8A"/>
    <w:rsid w:val="00C83BD5"/>
    <w:rsid w:val="00CB312C"/>
    <w:rsid w:val="00CD1768"/>
    <w:rsid w:val="00D12A32"/>
    <w:rsid w:val="00D12FF3"/>
    <w:rsid w:val="00D2029A"/>
    <w:rsid w:val="00D2070B"/>
    <w:rsid w:val="00D57F3D"/>
    <w:rsid w:val="00D62562"/>
    <w:rsid w:val="00D812AE"/>
    <w:rsid w:val="00D85DB7"/>
    <w:rsid w:val="00D925C4"/>
    <w:rsid w:val="00DA7F0E"/>
    <w:rsid w:val="00DB06A4"/>
    <w:rsid w:val="00DE5725"/>
    <w:rsid w:val="00DF1392"/>
    <w:rsid w:val="00DF1B2F"/>
    <w:rsid w:val="00DF202B"/>
    <w:rsid w:val="00E10628"/>
    <w:rsid w:val="00E90F72"/>
    <w:rsid w:val="00E93B79"/>
    <w:rsid w:val="00ED16FA"/>
    <w:rsid w:val="00EF2E32"/>
    <w:rsid w:val="00F01649"/>
    <w:rsid w:val="00F17126"/>
    <w:rsid w:val="00F24F02"/>
    <w:rsid w:val="00F30EDD"/>
    <w:rsid w:val="00F36406"/>
    <w:rsid w:val="00F44922"/>
    <w:rsid w:val="00F4593D"/>
    <w:rsid w:val="00F46870"/>
    <w:rsid w:val="00F47FE4"/>
    <w:rsid w:val="00F56C26"/>
    <w:rsid w:val="00F92F03"/>
    <w:rsid w:val="00FE2FE8"/>
    <w:rsid w:val="00FE3F9D"/>
    <w:rsid w:val="07723B58"/>
    <w:rsid w:val="08F70474"/>
    <w:rsid w:val="0A115ABF"/>
    <w:rsid w:val="0E027F26"/>
    <w:rsid w:val="0EC37ABF"/>
    <w:rsid w:val="11AF0643"/>
    <w:rsid w:val="13881436"/>
    <w:rsid w:val="141F7074"/>
    <w:rsid w:val="152473AE"/>
    <w:rsid w:val="15BC1C16"/>
    <w:rsid w:val="1705275A"/>
    <w:rsid w:val="1927062F"/>
    <w:rsid w:val="19BA3865"/>
    <w:rsid w:val="1B185EFB"/>
    <w:rsid w:val="1E9C20E8"/>
    <w:rsid w:val="1FF979BD"/>
    <w:rsid w:val="20E55E1A"/>
    <w:rsid w:val="23AC6045"/>
    <w:rsid w:val="24200E8A"/>
    <w:rsid w:val="242B515D"/>
    <w:rsid w:val="258F6828"/>
    <w:rsid w:val="2632277B"/>
    <w:rsid w:val="27E812F6"/>
    <w:rsid w:val="28AE409F"/>
    <w:rsid w:val="29066BB2"/>
    <w:rsid w:val="291766A1"/>
    <w:rsid w:val="2B567D19"/>
    <w:rsid w:val="2B843977"/>
    <w:rsid w:val="2C7517F6"/>
    <w:rsid w:val="2CA734C5"/>
    <w:rsid w:val="2D6A13F2"/>
    <w:rsid w:val="2F9A259E"/>
    <w:rsid w:val="305710E0"/>
    <w:rsid w:val="317B20D7"/>
    <w:rsid w:val="33E915F1"/>
    <w:rsid w:val="340A78AA"/>
    <w:rsid w:val="342B447C"/>
    <w:rsid w:val="35DE42D6"/>
    <w:rsid w:val="38B348A8"/>
    <w:rsid w:val="3A37162B"/>
    <w:rsid w:val="3BC82D18"/>
    <w:rsid w:val="3CAA6189"/>
    <w:rsid w:val="3D58732E"/>
    <w:rsid w:val="3F7A6776"/>
    <w:rsid w:val="410371B0"/>
    <w:rsid w:val="44CF34E6"/>
    <w:rsid w:val="44D4039C"/>
    <w:rsid w:val="45AA77F1"/>
    <w:rsid w:val="497C2319"/>
    <w:rsid w:val="49A66451"/>
    <w:rsid w:val="4B095D2C"/>
    <w:rsid w:val="4C7A07F8"/>
    <w:rsid w:val="4CA3004C"/>
    <w:rsid w:val="4D26074E"/>
    <w:rsid w:val="4E082274"/>
    <w:rsid w:val="4EA841D4"/>
    <w:rsid w:val="4EEE6A9D"/>
    <w:rsid w:val="4F035479"/>
    <w:rsid w:val="50051ED2"/>
    <w:rsid w:val="510667BD"/>
    <w:rsid w:val="52747AC9"/>
    <w:rsid w:val="55EE3C64"/>
    <w:rsid w:val="5A0E4861"/>
    <w:rsid w:val="5B30466F"/>
    <w:rsid w:val="5B6C201C"/>
    <w:rsid w:val="5DAC2459"/>
    <w:rsid w:val="60963A9B"/>
    <w:rsid w:val="64586AE0"/>
    <w:rsid w:val="64EC4DD6"/>
    <w:rsid w:val="64F409B1"/>
    <w:rsid w:val="65FF30DC"/>
    <w:rsid w:val="67811C5D"/>
    <w:rsid w:val="67FB5AEA"/>
    <w:rsid w:val="6B88282D"/>
    <w:rsid w:val="6BA0237C"/>
    <w:rsid w:val="6BBE444C"/>
    <w:rsid w:val="6C5710F4"/>
    <w:rsid w:val="6D755CB6"/>
    <w:rsid w:val="6DA40BFC"/>
    <w:rsid w:val="6E416684"/>
    <w:rsid w:val="70514703"/>
    <w:rsid w:val="71F0017E"/>
    <w:rsid w:val="741B210D"/>
    <w:rsid w:val="783D43FB"/>
    <w:rsid w:val="7AD323A6"/>
    <w:rsid w:val="7B6733FA"/>
    <w:rsid w:val="7CEB2CD7"/>
    <w:rsid w:val="7F966FC0"/>
    <w:rsid w:val="7FE62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34CC709"/>
  <w15:docId w15:val="{09E2CBD8-7E7E-4302-B92E-A2E3CABD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2" w:locked="1"/>
    <w:lsdException w:name="heading 3" w:locked="1"/>
    <w:lsdException w:name="heading 4" w:locked="1"/>
    <w:lsdException w:name="heading 5" w:locked="1"/>
    <w:lsdException w:name="heading 6" w:locked="1"/>
    <w:lsdException w:name="heading 7" w:locked="1"/>
    <w:lsdException w:name="heading 8" w:locked="1"/>
    <w:lsdException w:name="heading 9" w:locked="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index heading" w:locked="1"/>
    <w:lsdException w:name="caption" w:locked="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lsdException w:name="Closing" w:locked="1"/>
    <w:lsdException w:name="Signature" w:locked="1"/>
    <w:lsdException w:name="Default Paragraph Font" w:semiHidden="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lsdException w:name="Salutation"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lsdException w:name="Emphasis" w:locked="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HTML Acronym" w:locked="1"/>
    <w:lsdException w:name="HTML Address" w:locked="1"/>
    <w:lsdException w:name="HTML Cite" w:locked="1"/>
    <w:lsdException w:name="HTML Code" w:locked="1"/>
    <w:lsdException w:name="HTML Definition" w:locked="1"/>
    <w:lsdException w:name="HTML Keyboard" w:locked="1"/>
    <w:lsdException w:name="HTML Sample" w:locked="1"/>
    <w:lsdException w:name="HTML Typewriter" w:locked="1"/>
    <w:lsdException w:name="HTML Variable" w:locked="1"/>
    <w:lsdException w:name="Normal Table" w:semiHidden="1" w:unhideWhenUsed="1"/>
    <w:lsdException w:name="annotation subject" w:lock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仿宋_GB2312" w:hAnsi="Calibri" w:cs="Calibri"/>
      <w:kern w:val="2"/>
      <w:sz w:val="32"/>
      <w:szCs w:val="32"/>
    </w:rPr>
  </w:style>
  <w:style w:type="paragraph" w:styleId="1">
    <w:name w:val="heading 1"/>
    <w:basedOn w:val="a"/>
    <w:next w:val="a"/>
    <w:link w:val="10"/>
    <w:pPr>
      <w:spacing w:before="100" w:beforeAutospacing="1" w:after="100" w:afterAutospacing="1"/>
      <w:jc w:val="left"/>
      <w:outlineLvl w:val="0"/>
    </w:pPr>
    <w:rPr>
      <w:rFonts w:ascii="宋体" w:eastAsia="宋体" w:hAnsi="宋体" w:cs="宋体"/>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center"/>
    </w:pPr>
    <w:rPr>
      <w:rFonts w:eastAsia="黑体"/>
    </w:rPr>
  </w:style>
  <w:style w:type="paragraph" w:styleId="a5">
    <w:name w:val="Date"/>
    <w:basedOn w:val="a"/>
    <w:next w:val="a"/>
    <w:link w:val="a6"/>
    <w:pPr>
      <w:ind w:leftChars="2500" w:left="100"/>
    </w:pPr>
    <w:rPr>
      <w:rFonts w:ascii="楷体_GB2312" w:eastAsia="楷体_GB2312" w:cs="楷体_GB2312"/>
      <w:sz w:val="30"/>
      <w:szCs w:val="30"/>
    </w:rPr>
  </w:style>
  <w:style w:type="paragraph" w:styleId="a7">
    <w:name w:val="footer"/>
    <w:basedOn w:val="a"/>
    <w:link w:val="a8"/>
    <w:pPr>
      <w:tabs>
        <w:tab w:val="center" w:pos="4153"/>
        <w:tab w:val="right" w:pos="8306"/>
      </w:tabs>
      <w:snapToGrid w:val="0"/>
      <w:jc w:val="left"/>
    </w:pPr>
    <w:rPr>
      <w:sz w:val="18"/>
      <w:szCs w:val="18"/>
    </w:rPr>
  </w:style>
  <w:style w:type="paragraph" w:styleId="a9">
    <w:name w:val="header"/>
    <w:basedOn w:val="a"/>
    <w:link w:val="aa"/>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b">
    <w:name w:val="Normal (Web)"/>
    <w:basedOn w:val="a"/>
    <w:pPr>
      <w:spacing w:before="100" w:beforeAutospacing="1" w:after="100" w:afterAutospacing="1"/>
      <w:jc w:val="left"/>
    </w:pPr>
    <w:rPr>
      <w:rFonts w:ascii="宋体" w:eastAsia="宋体" w:hAnsi="宋体" w:cs="宋体"/>
      <w:kern w:val="0"/>
      <w:sz w:val="24"/>
      <w:szCs w:val="24"/>
    </w:rPr>
  </w:style>
  <w:style w:type="character" w:styleId="ac">
    <w:name w:val="page number"/>
    <w:basedOn w:val="a0"/>
    <w:rPr>
      <w:rFonts w:cs="Times New Roman"/>
    </w:rPr>
  </w:style>
  <w:style w:type="paragraph" w:customStyle="1" w:styleId="11">
    <w:name w:val="无间隔1"/>
    <w:pPr>
      <w:widowControl w:val="0"/>
      <w:jc w:val="both"/>
    </w:pPr>
    <w:rPr>
      <w:kern w:val="2"/>
      <w:sz w:val="21"/>
      <w:szCs w:val="21"/>
    </w:rPr>
  </w:style>
  <w:style w:type="paragraph" w:customStyle="1" w:styleId="NoSpacing1">
    <w:name w:val="No Spacing1"/>
    <w:basedOn w:val="a"/>
    <w:pPr>
      <w:widowControl/>
      <w:jc w:val="left"/>
    </w:pPr>
    <w:rPr>
      <w:rFonts w:ascii="Calibri Light" w:hAnsi="Calibri Light" w:cs="Calibri Light"/>
      <w:kern w:val="0"/>
      <w:sz w:val="22"/>
      <w:szCs w:val="22"/>
      <w:lang w:eastAsia="en-US"/>
    </w:rPr>
  </w:style>
  <w:style w:type="character" w:customStyle="1" w:styleId="a8">
    <w:name w:val="页脚 字符"/>
    <w:basedOn w:val="a0"/>
    <w:link w:val="a7"/>
    <w:semiHidden/>
    <w:locked/>
    <w:rPr>
      <w:rFonts w:ascii="Calibri" w:eastAsia="仿宋_GB2312" w:hAnsi="Calibri" w:cs="Calibri"/>
      <w:sz w:val="18"/>
      <w:szCs w:val="18"/>
    </w:rPr>
  </w:style>
  <w:style w:type="character" w:customStyle="1" w:styleId="aa">
    <w:name w:val="页眉 字符"/>
    <w:basedOn w:val="a0"/>
    <w:link w:val="a9"/>
    <w:semiHidden/>
    <w:locked/>
    <w:rPr>
      <w:rFonts w:ascii="Calibri" w:eastAsia="仿宋_GB2312" w:hAnsi="Calibri" w:cs="Calibri"/>
      <w:sz w:val="18"/>
      <w:szCs w:val="18"/>
    </w:rPr>
  </w:style>
  <w:style w:type="character" w:customStyle="1" w:styleId="10">
    <w:name w:val="标题 1 字符"/>
    <w:basedOn w:val="a0"/>
    <w:link w:val="1"/>
    <w:locked/>
    <w:rPr>
      <w:rFonts w:ascii="Calibri" w:eastAsia="仿宋_GB2312" w:hAnsi="Calibri" w:cs="Calibri"/>
      <w:b/>
      <w:bCs/>
      <w:kern w:val="44"/>
      <w:sz w:val="44"/>
      <w:szCs w:val="44"/>
    </w:rPr>
  </w:style>
  <w:style w:type="character" w:customStyle="1" w:styleId="HTML0">
    <w:name w:val="HTML 预设格式 字符"/>
    <w:basedOn w:val="a0"/>
    <w:link w:val="HTML"/>
    <w:semiHidden/>
    <w:locked/>
    <w:rPr>
      <w:rFonts w:ascii="Courier New" w:eastAsia="仿宋_GB2312" w:hAnsi="Courier New" w:cs="Courier New"/>
      <w:sz w:val="20"/>
      <w:szCs w:val="20"/>
    </w:rPr>
  </w:style>
  <w:style w:type="character" w:customStyle="1" w:styleId="a4">
    <w:name w:val="正文文本 字符"/>
    <w:basedOn w:val="a0"/>
    <w:link w:val="a3"/>
    <w:semiHidden/>
    <w:locked/>
    <w:rPr>
      <w:rFonts w:ascii="Calibri" w:eastAsia="仿宋_GB2312" w:hAnsi="Calibri" w:cs="Calibri"/>
      <w:sz w:val="32"/>
      <w:szCs w:val="32"/>
    </w:rPr>
  </w:style>
  <w:style w:type="character" w:customStyle="1" w:styleId="a6">
    <w:name w:val="日期 字符"/>
    <w:basedOn w:val="a0"/>
    <w:link w:val="a5"/>
    <w:semiHidden/>
    <w:locked/>
    <w:rPr>
      <w:rFonts w:ascii="Calibri" w:eastAsia="仿宋_GB2312" w:hAnsi="Calibri" w:cs="Calibri"/>
      <w:sz w:val="32"/>
      <w:szCs w:val="32"/>
    </w:rPr>
  </w:style>
  <w:style w:type="character" w:customStyle="1" w:styleId="bd1">
    <w:name w:val="bd1"/>
    <w:basedOn w:val="a0"/>
    <w:rPr>
      <w:rFonts w:ascii="??" w:hAnsi="??" w: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703</Words>
  <Characters>4008</Characters>
  <Application>Microsoft Office Word</Application>
  <DocSecurity>0</DocSecurity>
  <Lines>33</Lines>
  <Paragraphs>9</Paragraphs>
  <ScaleCrop>false</ScaleCrop>
  <Company>china</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rd</dc:creator>
  <cp:lastModifiedBy>Byron Jack</cp:lastModifiedBy>
  <cp:revision>29</cp:revision>
  <cp:lastPrinted>2017-07-13T01:45:00Z</cp:lastPrinted>
  <dcterms:created xsi:type="dcterms:W3CDTF">2017-07-13T03:10:00Z</dcterms:created>
  <dcterms:modified xsi:type="dcterms:W3CDTF">2018-02-26T08:57:00Z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