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仿宋_GB2312" w:eastAsia="仿宋_GB2312"/>
          <w:sz w:val="32"/>
          <w:szCs w:val="32"/>
        </w:rPr>
      </w:pPr>
    </w:p>
    <w:p>
      <w:pPr>
        <w:snapToGrid w:val="0"/>
        <w:jc w:val="center"/>
        <w:rPr>
          <w:rFonts w:ascii="仿宋_GB2312" w:eastAsia="仿宋_GB2312"/>
          <w:sz w:val="32"/>
          <w:szCs w:val="32"/>
        </w:rPr>
      </w:pPr>
    </w:p>
    <w:p>
      <w:pPr>
        <w:snapToGrid w:val="0"/>
        <w:jc w:val="center"/>
        <w:rPr>
          <w:rFonts w:ascii="仿宋_GB2312" w:eastAsia="仿宋_GB2312"/>
          <w:sz w:val="32"/>
          <w:szCs w:val="32"/>
        </w:rPr>
      </w:pPr>
    </w:p>
    <w:p>
      <w:pPr>
        <w:snapToGrid w:val="0"/>
        <w:jc w:val="center"/>
        <w:rPr>
          <w:rFonts w:ascii="仿宋_GB2312" w:eastAsia="仿宋_GB2312"/>
          <w:sz w:val="32"/>
          <w:szCs w:val="32"/>
        </w:rPr>
      </w:pPr>
    </w:p>
    <w:p>
      <w:pPr>
        <w:snapToGrid w:val="0"/>
        <w:jc w:val="center"/>
        <w:rPr>
          <w:rFonts w:ascii="仿宋_GB2312" w:eastAsia="仿宋_GB2312"/>
          <w:sz w:val="32"/>
          <w:szCs w:val="32"/>
        </w:rPr>
      </w:pPr>
    </w:p>
    <w:p>
      <w:pPr>
        <w:snapToGrid w:val="0"/>
        <w:jc w:val="center"/>
        <w:rPr>
          <w:rFonts w:ascii="仿宋_GB2312" w:eastAsia="仿宋_GB2312"/>
          <w:sz w:val="32"/>
          <w:szCs w:val="32"/>
        </w:rPr>
      </w:pPr>
    </w:p>
    <w:p>
      <w:pPr>
        <w:snapToGrid w:val="0"/>
        <w:jc w:val="center"/>
        <w:rPr>
          <w:rFonts w:ascii="仿宋_GB2312" w:eastAsia="仿宋_GB2312"/>
          <w:sz w:val="32"/>
          <w:szCs w:val="32"/>
        </w:rPr>
      </w:pPr>
    </w:p>
    <w:p>
      <w:pPr>
        <w:snapToGrid w:val="0"/>
        <w:jc w:val="center"/>
        <w:rPr>
          <w:rFonts w:ascii="仿宋_GB2312" w:eastAsia="仿宋_GB2312"/>
          <w:sz w:val="32"/>
          <w:szCs w:val="32"/>
        </w:rPr>
      </w:pPr>
    </w:p>
    <w:p>
      <w:pPr>
        <w:snapToGrid w:val="0"/>
        <w:jc w:val="center"/>
        <w:rPr>
          <w:rFonts w:ascii="仿宋_GB2312" w:eastAsia="仿宋_GB2312"/>
          <w:sz w:val="32"/>
          <w:szCs w:val="32"/>
        </w:rPr>
      </w:pPr>
    </w:p>
    <w:p>
      <w:pPr>
        <w:snapToGrid w:val="0"/>
        <w:jc w:val="center"/>
        <w:rPr>
          <w:rFonts w:ascii="仿宋_GB2312" w:eastAsia="仿宋_GB2312"/>
          <w:sz w:val="32"/>
          <w:szCs w:val="32"/>
        </w:rPr>
      </w:pPr>
    </w:p>
    <w:p>
      <w:pPr>
        <w:snapToGrid w:val="0"/>
        <w:jc w:val="center"/>
        <w:rPr>
          <w:rFonts w:ascii="仿宋_GB2312" w:eastAsia="仿宋_GB2312"/>
          <w:sz w:val="44"/>
          <w:szCs w:val="44"/>
        </w:rPr>
      </w:pPr>
    </w:p>
    <w:p>
      <w:pPr>
        <w:snapToGrid w:val="0"/>
        <w:jc w:val="center"/>
        <w:rPr>
          <w:rFonts w:ascii="仿宋_GB2312" w:eastAsia="仿宋_GB2312"/>
          <w:sz w:val="48"/>
          <w:szCs w:val="48"/>
        </w:rPr>
      </w:pPr>
    </w:p>
    <w:p>
      <w:pPr>
        <w:snapToGrid w:val="0"/>
        <w:jc w:val="center"/>
        <w:rPr>
          <w:rFonts w:hint="eastAsia" w:ascii="仿宋_GB2312" w:hAnsi="仿宋_GB2312" w:eastAsia="仿宋_GB2312" w:cs="仿宋_GB2312"/>
          <w:sz w:val="32"/>
          <w:szCs w:val="32"/>
        </w:rPr>
      </w:pPr>
      <w:r>
        <w:rPr>
          <w:rFonts w:hint="eastAsia" w:ascii="仿宋_GB2312" w:eastAsia="仿宋_GB2312"/>
          <w:sz w:val="32"/>
          <w:szCs w:val="32"/>
        </w:rPr>
        <w:t>宁人常</w:t>
      </w:r>
      <w:r>
        <w:rPr>
          <w:rFonts w:hint="eastAsia" w:ascii="楷体" w:hAnsi="楷体" w:eastAsia="楷体"/>
          <w:sz w:val="32"/>
          <w:szCs w:val="32"/>
        </w:rPr>
        <w:t>〔</w:t>
      </w:r>
      <w:r>
        <w:rPr>
          <w:rFonts w:hint="eastAsia" w:ascii="仿宋_GB2312" w:eastAsia="仿宋_GB2312"/>
          <w:sz w:val="32"/>
          <w:szCs w:val="32"/>
        </w:rPr>
        <w:t>201</w:t>
      </w:r>
      <w:r>
        <w:rPr>
          <w:rFonts w:hint="eastAsia" w:ascii="仿宋_GB2312" w:eastAsia="仿宋_GB2312"/>
          <w:sz w:val="32"/>
          <w:szCs w:val="32"/>
          <w:lang w:val="en-US" w:eastAsia="zh-CN"/>
        </w:rPr>
        <w:t>7</w:t>
      </w:r>
      <w:r>
        <w:rPr>
          <w:rFonts w:hint="eastAsia" w:ascii="楷体" w:hAnsi="楷体" w:eastAsia="楷体"/>
          <w:sz w:val="32"/>
          <w:szCs w:val="32"/>
        </w:rPr>
        <w:t>〕</w:t>
      </w:r>
      <w:r>
        <w:rPr>
          <w:rFonts w:hint="eastAsia" w:ascii="仿宋_GB2312" w:hAnsi="仿宋_GB2312" w:eastAsia="仿宋_GB2312" w:cs="仿宋_GB2312"/>
          <w:sz w:val="32"/>
          <w:szCs w:val="32"/>
          <w:lang w:val="en-US" w:eastAsia="zh-CN"/>
        </w:rPr>
        <w:t>37</w:t>
      </w:r>
      <w:r>
        <w:rPr>
          <w:rFonts w:hint="eastAsia" w:ascii="仿宋_GB2312" w:hAnsi="仿宋_GB2312" w:eastAsia="仿宋_GB2312" w:cs="仿宋_GB2312"/>
          <w:sz w:val="32"/>
          <w:szCs w:val="32"/>
        </w:rPr>
        <w:t>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ascii="仿宋_GB2312"/>
          <w:sz w:val="44"/>
          <w:szCs w:val="44"/>
        </w:rPr>
      </w:pPr>
    </w:p>
    <w:p>
      <w:pPr>
        <w:snapToGrid w:val="0"/>
        <w:jc w:val="center"/>
        <w:rPr>
          <w:rFonts w:hint="eastAsia" w:ascii="方正小标宋简体" w:eastAsia="方正小标宋简体"/>
          <w:bCs/>
          <w:sz w:val="44"/>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宁夏回族自治区人民代表大会常务委员会</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center"/>
        <w:textAlignment w:val="auto"/>
        <w:outlineLvl w:val="9"/>
        <w:rPr>
          <w:rFonts w:hint="eastAsia" w:ascii="宋体" w:hAnsi="宋体" w:eastAsia="宋体" w:cs="宋体"/>
          <w:color w:val="000000"/>
          <w:kern w:val="0"/>
          <w:sz w:val="44"/>
          <w:szCs w:val="44"/>
          <w:lang w:eastAsia="zh-CN"/>
        </w:rPr>
      </w:pPr>
      <w:r>
        <w:rPr>
          <w:rFonts w:hint="eastAsia" w:ascii="宋体" w:hAnsi="宋体" w:eastAsia="宋体" w:cs="宋体"/>
          <w:color w:val="000000"/>
          <w:kern w:val="0"/>
          <w:sz w:val="44"/>
          <w:szCs w:val="44"/>
        </w:rPr>
        <w:t>关于</w:t>
      </w:r>
      <w:r>
        <w:rPr>
          <w:rFonts w:hint="eastAsia" w:ascii="宋体" w:hAnsi="宋体" w:eastAsia="宋体" w:cs="宋体"/>
          <w:color w:val="000000"/>
          <w:spacing w:val="8"/>
          <w:kern w:val="0"/>
          <w:sz w:val="44"/>
          <w:szCs w:val="44"/>
        </w:rPr>
        <w:t>宁夏回族自治区环境保护税适用税额和应税污染物项目数的决定</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center"/>
        <w:textAlignment w:val="auto"/>
        <w:rPr>
          <w:rFonts w:hint="eastAsia" w:ascii="楷体" w:hAnsi="楷体" w:eastAsia="楷体" w:cs="宋体"/>
          <w:color w:val="000000"/>
          <w:kern w:val="0"/>
          <w:sz w:val="32"/>
          <w:szCs w:val="32"/>
        </w:rPr>
      </w:pPr>
      <w:r>
        <w:rPr>
          <w:rFonts w:hint="eastAsia" w:ascii="楷体" w:hAnsi="楷体" w:eastAsia="楷体" w:cs="宋体"/>
          <w:color w:val="000000"/>
          <w:kern w:val="0"/>
          <w:sz w:val="32"/>
          <w:szCs w:val="32"/>
        </w:rPr>
        <w:t>（201</w:t>
      </w:r>
      <w:r>
        <w:rPr>
          <w:rFonts w:hint="eastAsia" w:ascii="楷体" w:hAnsi="楷体" w:eastAsia="楷体" w:cs="宋体"/>
          <w:color w:val="000000"/>
          <w:kern w:val="0"/>
          <w:sz w:val="32"/>
          <w:szCs w:val="32"/>
          <w:lang w:val="en-US" w:eastAsia="zh-CN"/>
        </w:rPr>
        <w:t>7</w:t>
      </w:r>
      <w:r>
        <w:rPr>
          <w:rFonts w:hint="eastAsia" w:ascii="楷体" w:hAnsi="楷体" w:eastAsia="楷体" w:cs="宋体"/>
          <w:color w:val="000000"/>
          <w:kern w:val="0"/>
          <w:sz w:val="32"/>
          <w:szCs w:val="32"/>
        </w:rPr>
        <w:t>年</w:t>
      </w:r>
      <w:r>
        <w:rPr>
          <w:rFonts w:hint="eastAsia" w:ascii="楷体" w:hAnsi="楷体" w:eastAsia="楷体" w:cs="宋体"/>
          <w:color w:val="000000"/>
          <w:kern w:val="0"/>
          <w:sz w:val="32"/>
          <w:szCs w:val="32"/>
          <w:lang w:val="en-US" w:eastAsia="zh-CN"/>
        </w:rPr>
        <w:t>11</w:t>
      </w:r>
      <w:r>
        <w:rPr>
          <w:rFonts w:hint="eastAsia" w:ascii="楷体" w:hAnsi="楷体" w:eastAsia="楷体" w:cs="宋体"/>
          <w:color w:val="000000"/>
          <w:kern w:val="0"/>
          <w:sz w:val="32"/>
          <w:szCs w:val="32"/>
        </w:rPr>
        <w:t>月</w:t>
      </w:r>
      <w:r>
        <w:rPr>
          <w:rFonts w:hint="eastAsia" w:ascii="楷体" w:hAnsi="楷体" w:eastAsia="楷体" w:cs="宋体"/>
          <w:color w:val="000000"/>
          <w:kern w:val="0"/>
          <w:sz w:val="32"/>
          <w:szCs w:val="32"/>
          <w:lang w:val="en-US" w:eastAsia="zh-CN"/>
        </w:rPr>
        <w:t xml:space="preserve"> 30 </w:t>
      </w:r>
      <w:r>
        <w:rPr>
          <w:rFonts w:hint="eastAsia" w:ascii="楷体" w:hAnsi="楷体" w:eastAsia="楷体" w:cs="宋体"/>
          <w:color w:val="000000"/>
          <w:kern w:val="0"/>
          <w:sz w:val="32"/>
          <w:szCs w:val="32"/>
        </w:rPr>
        <w:t>日宁夏回族自治区第十一届</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center"/>
        <w:textAlignment w:val="auto"/>
        <w:rPr>
          <w:rFonts w:hint="eastAsia" w:ascii="仿宋" w:hAnsi="仿宋" w:eastAsia="仿宋" w:cs="宋体"/>
          <w:color w:val="000000"/>
          <w:kern w:val="0"/>
          <w:sz w:val="32"/>
          <w:szCs w:val="32"/>
        </w:rPr>
      </w:pPr>
      <w:r>
        <w:rPr>
          <w:rFonts w:hint="eastAsia" w:ascii="楷体" w:hAnsi="楷体" w:eastAsia="楷体" w:cs="宋体"/>
          <w:color w:val="000000"/>
          <w:kern w:val="0"/>
          <w:sz w:val="32"/>
          <w:szCs w:val="32"/>
        </w:rPr>
        <w:t>　人民代表大会常务委员会第</w:t>
      </w:r>
      <w:r>
        <w:rPr>
          <w:rFonts w:hint="eastAsia" w:ascii="楷体" w:hAnsi="楷体" w:eastAsia="楷体" w:cs="宋体"/>
          <w:color w:val="000000"/>
          <w:kern w:val="0"/>
          <w:sz w:val="32"/>
          <w:szCs w:val="32"/>
          <w:lang w:eastAsia="zh-CN"/>
        </w:rPr>
        <w:t>三</w:t>
      </w:r>
      <w:r>
        <w:rPr>
          <w:rFonts w:hint="eastAsia" w:ascii="楷体" w:hAnsi="楷体" w:eastAsia="楷体" w:cs="宋体"/>
          <w:color w:val="000000"/>
          <w:kern w:val="0"/>
          <w:sz w:val="32"/>
          <w:szCs w:val="32"/>
        </w:rPr>
        <w:t>十</w:t>
      </w:r>
      <w:r>
        <w:rPr>
          <w:rFonts w:hint="eastAsia" w:ascii="楷体" w:hAnsi="楷体" w:eastAsia="楷体" w:cs="宋体"/>
          <w:color w:val="000000"/>
          <w:kern w:val="0"/>
          <w:sz w:val="32"/>
          <w:szCs w:val="32"/>
          <w:lang w:eastAsia="zh-CN"/>
        </w:rPr>
        <w:t>四</w:t>
      </w:r>
      <w:r>
        <w:rPr>
          <w:rFonts w:hint="eastAsia" w:ascii="楷体" w:hAnsi="楷体" w:eastAsia="楷体" w:cs="宋体"/>
          <w:color w:val="000000"/>
          <w:kern w:val="0"/>
          <w:sz w:val="32"/>
          <w:szCs w:val="32"/>
        </w:rPr>
        <w:t>次会议通过）</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仿宋" w:hAnsi="仿宋" w:eastAsia="仿宋" w:cs="宋体"/>
          <w:color w:val="000000"/>
          <w:kern w:val="0"/>
          <w:sz w:val="32"/>
          <w:szCs w:val="32"/>
        </w:rPr>
      </w:pPr>
    </w:p>
    <w:p>
      <w:pPr>
        <w:snapToGrid w:val="0"/>
        <w:spacing w:line="600" w:lineRule="exact"/>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lang w:val="en-US" w:eastAsia="zh-CN"/>
        </w:rPr>
        <w:t xml:space="preserve">    </w:t>
      </w:r>
      <w:r>
        <w:rPr>
          <w:rFonts w:hint="eastAsia" w:ascii="仿宋_GB2312" w:hAnsi="仿宋_GB2312" w:eastAsia="仿宋_GB2312" w:cs="仿宋_GB2312"/>
          <w:color w:val="000000"/>
          <w:spacing w:val="8"/>
          <w:kern w:val="0"/>
          <w:sz w:val="32"/>
          <w:szCs w:val="32"/>
        </w:rPr>
        <w:t>宁夏回族自治区第十一届人民代表大会常务委员会第</w:t>
      </w:r>
      <w:r>
        <w:rPr>
          <w:rFonts w:hint="eastAsia" w:ascii="仿宋_GB2312" w:hAnsi="仿宋_GB2312" w:eastAsia="仿宋_GB2312" w:cs="仿宋_GB2312"/>
          <w:color w:val="000000"/>
          <w:spacing w:val="8"/>
          <w:kern w:val="0"/>
          <w:sz w:val="32"/>
          <w:szCs w:val="32"/>
          <w:lang w:eastAsia="zh-CN"/>
        </w:rPr>
        <w:t>三</w:t>
      </w:r>
      <w:r>
        <w:rPr>
          <w:rFonts w:hint="eastAsia" w:ascii="仿宋_GB2312" w:hAnsi="仿宋_GB2312" w:eastAsia="仿宋_GB2312" w:cs="仿宋_GB2312"/>
          <w:color w:val="000000"/>
          <w:spacing w:val="8"/>
          <w:kern w:val="0"/>
          <w:sz w:val="32"/>
          <w:szCs w:val="32"/>
        </w:rPr>
        <w:t>十</w:t>
      </w:r>
      <w:r>
        <w:rPr>
          <w:rFonts w:hint="eastAsia" w:ascii="仿宋_GB2312" w:hAnsi="仿宋_GB2312" w:eastAsia="仿宋_GB2312" w:cs="仿宋_GB2312"/>
          <w:color w:val="000000"/>
          <w:spacing w:val="8"/>
          <w:kern w:val="0"/>
          <w:sz w:val="32"/>
          <w:szCs w:val="32"/>
          <w:lang w:eastAsia="zh-CN"/>
        </w:rPr>
        <w:t>四</w:t>
      </w:r>
      <w:r>
        <w:rPr>
          <w:rFonts w:hint="eastAsia" w:ascii="仿宋_GB2312" w:hAnsi="仿宋_GB2312" w:eastAsia="仿宋_GB2312" w:cs="仿宋_GB2312"/>
          <w:color w:val="000000"/>
          <w:spacing w:val="8"/>
          <w:kern w:val="0"/>
          <w:sz w:val="32"/>
          <w:szCs w:val="32"/>
        </w:rPr>
        <w:t>次会议审议了自治区人民政府提请审议</w:t>
      </w:r>
      <w:r>
        <w:rPr>
          <w:rFonts w:hint="eastAsia" w:ascii="仿宋_GB2312" w:hAnsi="仿宋_GB2312" w:eastAsia="仿宋_GB2312" w:cs="仿宋_GB2312"/>
          <w:color w:val="000000"/>
          <w:spacing w:val="8"/>
          <w:kern w:val="0"/>
          <w:sz w:val="32"/>
          <w:szCs w:val="32"/>
          <w:lang w:eastAsia="zh-CN"/>
        </w:rPr>
        <w:t>的</w:t>
      </w:r>
      <w:r>
        <w:rPr>
          <w:rFonts w:hint="eastAsia" w:ascii="仿宋_GB2312" w:hAnsi="仿宋_GB2312" w:eastAsia="仿宋_GB2312" w:cs="仿宋_GB2312"/>
          <w:color w:val="000000"/>
          <w:spacing w:val="8"/>
          <w:kern w:val="0"/>
          <w:sz w:val="32"/>
          <w:szCs w:val="32"/>
        </w:rPr>
        <w:t>《宁夏回族自治区环境保护税适用税额和应税污染物项目数的决定</w:t>
      </w:r>
      <w:r>
        <w:rPr>
          <w:rFonts w:hint="eastAsia" w:ascii="仿宋_GB2312" w:hAnsi="仿宋_GB2312" w:eastAsia="仿宋_GB2312" w:cs="仿宋_GB2312"/>
          <w:color w:val="000000"/>
          <w:spacing w:val="8"/>
          <w:kern w:val="0"/>
          <w:sz w:val="32"/>
          <w:szCs w:val="32"/>
          <w:lang w:eastAsia="zh-CN"/>
        </w:rPr>
        <w:t>（草案）</w:t>
      </w:r>
      <w:r>
        <w:rPr>
          <w:rFonts w:hint="eastAsia" w:ascii="仿宋_GB2312" w:hAnsi="仿宋_GB2312" w:eastAsia="仿宋_GB2312" w:cs="仿宋_GB2312"/>
          <w:color w:val="000000"/>
          <w:spacing w:val="8"/>
          <w:kern w:val="0"/>
          <w:sz w:val="32"/>
          <w:szCs w:val="32"/>
        </w:rPr>
        <w:t>》</w:t>
      </w:r>
      <w:r>
        <w:rPr>
          <w:rFonts w:hint="eastAsia" w:ascii="仿宋_GB2312" w:hAnsi="仿宋_GB2312" w:eastAsia="仿宋_GB2312" w:cs="仿宋_GB2312"/>
          <w:color w:val="000000"/>
          <w:spacing w:val="8"/>
          <w:kern w:val="0"/>
          <w:sz w:val="32"/>
          <w:szCs w:val="32"/>
          <w:lang w:eastAsia="zh-CN"/>
        </w:rPr>
        <w:t>。</w:t>
      </w:r>
      <w:r>
        <w:rPr>
          <w:rFonts w:hint="eastAsia" w:ascii="仿宋_GB2312" w:hAnsi="仿宋_GB2312" w:eastAsia="仿宋_GB2312" w:cs="仿宋_GB2312"/>
          <w:color w:val="000000"/>
          <w:spacing w:val="8"/>
          <w:kern w:val="0"/>
          <w:sz w:val="32"/>
          <w:szCs w:val="32"/>
        </w:rPr>
        <w:t>会议同意自治区人民代表大会财政经济委员会的审查</w:t>
      </w:r>
      <w:r>
        <w:rPr>
          <w:rFonts w:hint="eastAsia" w:ascii="仿宋_GB2312" w:hAnsi="仿宋_GB2312" w:eastAsia="仿宋_GB2312" w:cs="仿宋_GB2312"/>
          <w:color w:val="000000"/>
          <w:spacing w:val="8"/>
          <w:kern w:val="0"/>
          <w:sz w:val="32"/>
          <w:szCs w:val="32"/>
          <w:lang w:eastAsia="zh-CN"/>
        </w:rPr>
        <w:t>意见的</w:t>
      </w:r>
      <w:r>
        <w:rPr>
          <w:rFonts w:hint="eastAsia" w:ascii="仿宋_GB2312" w:hAnsi="仿宋_GB2312" w:eastAsia="仿宋_GB2312" w:cs="仿宋_GB2312"/>
          <w:color w:val="000000"/>
          <w:spacing w:val="8"/>
          <w:kern w:val="0"/>
          <w:sz w:val="32"/>
          <w:szCs w:val="32"/>
        </w:rPr>
        <w:t>报告</w:t>
      </w:r>
      <w:r>
        <w:rPr>
          <w:rFonts w:hint="eastAsia" w:ascii="仿宋_GB2312" w:hAnsi="仿宋_GB2312" w:eastAsia="仿宋_GB2312" w:cs="仿宋_GB2312"/>
          <w:color w:val="000000"/>
          <w:spacing w:val="8"/>
          <w:kern w:val="0"/>
          <w:sz w:val="32"/>
          <w:szCs w:val="32"/>
          <w:lang w:eastAsia="zh-CN"/>
        </w:rPr>
        <w:t>，</w:t>
      </w:r>
      <w:r>
        <w:rPr>
          <w:rFonts w:hint="eastAsia" w:ascii="仿宋_GB2312" w:hAnsi="仿宋_GB2312" w:eastAsia="仿宋_GB2312" w:cs="仿宋_GB2312"/>
          <w:color w:val="000000"/>
          <w:spacing w:val="8"/>
          <w:kern w:val="0"/>
          <w:sz w:val="32"/>
          <w:szCs w:val="32"/>
        </w:rPr>
        <w:t>决定宁夏回族自治区应税大气污染物和水污染物的具体适用税额为：大气污染物税额标准为每污染当量1.2元；水污染物税额标准为每污染当量1.4元。同一排放口征收环境保护税的应税污染物项目数按照环保税法规定标准执行，暂不增加。</w:t>
      </w:r>
    </w:p>
    <w:p>
      <w:pPr>
        <w:snapToGrid w:val="0"/>
        <w:spacing w:line="600" w:lineRule="exact"/>
        <w:ind w:firstLine="672" w:firstLineChars="200"/>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rPr>
        <w:t>本决定自2018年1月1日起施行。</w:t>
      </w:r>
    </w:p>
    <w:p>
      <w:pPr>
        <w:keepNext w:val="0"/>
        <w:keepLines w:val="0"/>
        <w:pageBreakBefore w:val="0"/>
        <w:widowControl w:val="0"/>
        <w:kinsoku/>
        <w:wordWrap/>
        <w:overflowPunct/>
        <w:topLinePunct w:val="0"/>
        <w:autoSpaceDE/>
        <w:autoSpaceDN/>
        <w:bidi w:val="0"/>
        <w:snapToGrid w:val="0"/>
        <w:spacing w:line="240" w:lineRule="auto"/>
        <w:ind w:left="0" w:leftChars="0" w:right="0" w:rightChars="0"/>
        <w:jc w:val="both"/>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仿宋_GB2312" w:eastAsia="仿宋_GB2312"/>
          <w:sz w:val="32"/>
          <w:szCs w:val="32"/>
        </w:rPr>
      </w:pP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宁夏回族自治区人民代表大会常务委员会</w:t>
      </w:r>
    </w:p>
    <w:p>
      <w:pPr>
        <w:pStyle w:val="3"/>
        <w:spacing w:line="600" w:lineRule="exact"/>
        <w:ind w:firstLine="3040" w:firstLineChars="95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2017</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30</w:t>
      </w:r>
      <w:r>
        <w:rPr>
          <w:rFonts w:hint="eastAsia" w:ascii="仿宋_GB2312" w:hAnsi="仿宋_GB2312" w:eastAsia="仿宋_GB2312" w:cs="仿宋_GB2312"/>
          <w:sz w:val="32"/>
          <w:szCs w:val="32"/>
        </w:rPr>
        <w:t>日</w:t>
      </w:r>
    </w:p>
    <w:p>
      <w:pPr>
        <w:pStyle w:val="3"/>
        <w:spacing w:line="600" w:lineRule="exact"/>
        <w:ind w:firstLine="3040" w:firstLineChars="950"/>
        <w:jc w:val="both"/>
        <w:rPr>
          <w:rFonts w:hint="eastAsia" w:ascii="仿宋_GB2312" w:hAnsi="仿宋_GB2312" w:eastAsia="仿宋_GB2312" w:cs="仿宋_GB2312"/>
          <w:sz w:val="32"/>
          <w:szCs w:val="32"/>
        </w:rPr>
      </w:pPr>
    </w:p>
    <w:p>
      <w:pPr>
        <w:pStyle w:val="3"/>
        <w:spacing w:line="600" w:lineRule="exact"/>
        <w:ind w:firstLine="3040" w:firstLineChars="950"/>
        <w:jc w:val="both"/>
        <w:rPr>
          <w:rFonts w:hint="eastAsia" w:ascii="仿宋_GB2312" w:hAnsi="仿宋_GB2312" w:eastAsia="仿宋_GB2312" w:cs="仿宋_GB2312"/>
          <w:sz w:val="32"/>
          <w:szCs w:val="32"/>
        </w:rPr>
      </w:pPr>
    </w:p>
    <w:p>
      <w:pPr>
        <w:pStyle w:val="3"/>
        <w:spacing w:line="600" w:lineRule="exact"/>
        <w:ind w:firstLine="3040" w:firstLineChars="950"/>
        <w:jc w:val="both"/>
        <w:rPr>
          <w:rFonts w:hint="eastAsia" w:ascii="仿宋_GB2312" w:hAnsi="仿宋_GB2312" w:eastAsia="仿宋_GB2312" w:cs="仿宋_GB2312"/>
          <w:sz w:val="32"/>
          <w:szCs w:val="32"/>
        </w:rPr>
      </w:pPr>
    </w:p>
    <w:p>
      <w:pPr>
        <w:pStyle w:val="3"/>
        <w:spacing w:line="600" w:lineRule="exact"/>
        <w:ind w:firstLine="3040" w:firstLineChars="950"/>
        <w:jc w:val="both"/>
        <w:rPr>
          <w:rFonts w:hint="eastAsia" w:ascii="仿宋_GB2312" w:hAnsi="仿宋_GB2312" w:eastAsia="仿宋_GB2312" w:cs="仿宋_GB2312"/>
          <w:sz w:val="32"/>
          <w:szCs w:val="32"/>
        </w:rPr>
      </w:pPr>
    </w:p>
    <w:p>
      <w:pPr>
        <w:pStyle w:val="3"/>
        <w:spacing w:line="600" w:lineRule="exact"/>
        <w:ind w:firstLine="3040" w:firstLineChars="950"/>
        <w:jc w:val="both"/>
        <w:rPr>
          <w:rFonts w:hint="eastAsia" w:ascii="仿宋_GB2312" w:hAnsi="仿宋_GB2312" w:eastAsia="仿宋_GB2312" w:cs="仿宋_GB2312"/>
          <w:sz w:val="32"/>
          <w:szCs w:val="32"/>
        </w:rPr>
      </w:pPr>
    </w:p>
    <w:p>
      <w:pPr>
        <w:pStyle w:val="3"/>
        <w:spacing w:line="600" w:lineRule="exact"/>
        <w:ind w:firstLine="3040" w:firstLineChars="950"/>
        <w:jc w:val="both"/>
        <w:rPr>
          <w:rFonts w:hint="eastAsia" w:ascii="仿宋_GB2312" w:hAnsi="仿宋_GB2312" w:eastAsia="仿宋_GB2312" w:cs="仿宋_GB2312"/>
          <w:sz w:val="32"/>
          <w:szCs w:val="32"/>
        </w:rPr>
      </w:pPr>
    </w:p>
    <w:p>
      <w:pPr>
        <w:snapToGrid w:val="0"/>
        <w:spacing w:line="600" w:lineRule="exact"/>
        <w:rPr>
          <w:rFonts w:hint="eastAsia" w:ascii="仿宋_GB2312" w:eastAsia="仿宋_GB2312"/>
          <w:sz w:val="32"/>
          <w:szCs w:val="32"/>
        </w:rPr>
      </w:pPr>
    </w:p>
    <w:p>
      <w:pPr>
        <w:snapToGrid w:val="0"/>
        <w:spacing w:line="600" w:lineRule="exact"/>
        <w:rPr>
          <w:rFonts w:hint="eastAsia" w:ascii="仿宋_GB2312" w:hAnsi="仿宋_GB2312" w:eastAsia="仿宋_GB2312" w:cs="仿宋_GB2312"/>
          <w:sz w:val="32"/>
          <w:szCs w:val="32"/>
        </w:rPr>
      </w:pPr>
      <w:r>
        <w:rPr>
          <w:rFonts w:hint="eastAsia" w:ascii="仿宋_GB2312" w:eastAsia="仿宋_GB2312"/>
          <w:sz w:val="32"/>
          <w:szCs w:val="32"/>
        </w:rPr>
        <w:t xml:space="preserve">           </w:t>
      </w:r>
    </w:p>
    <w:p>
      <w:pPr>
        <w:spacing w:line="600" w:lineRule="exact"/>
        <w:rPr>
          <w:rFonts w:hint="eastAsia" w:ascii="仿宋_GB2312" w:hAnsi="仿宋_GB2312" w:eastAsia="仿宋_GB2312" w:cs="仿宋_GB2312"/>
          <w:sz w:val="32"/>
          <w:szCs w:val="32"/>
        </w:rPr>
      </w:pPr>
    </w:p>
    <w:p>
      <w:pPr>
        <w:spacing w:line="560" w:lineRule="exact"/>
        <w:rPr>
          <w:rFonts w:hint="eastAsia" w:ascii="仿宋_GB2312" w:hAnsi="仿宋_GB2312" w:eastAsia="仿宋_GB2312" w:cs="仿宋_GB2312"/>
          <w:sz w:val="32"/>
          <w:szCs w:val="32"/>
        </w:rPr>
      </w:pPr>
    </w:p>
    <w:p>
      <w:pPr>
        <w:spacing w:line="560" w:lineRule="exact"/>
        <w:rPr>
          <w:rFonts w:hint="eastAsia" w:ascii="仿宋_GB2312" w:hAnsi="仿宋_GB2312" w:eastAsia="仿宋_GB2312" w:cs="仿宋_GB2312"/>
          <w:sz w:val="32"/>
          <w:szCs w:val="32"/>
        </w:rPr>
      </w:pPr>
    </w:p>
    <w:p>
      <w:pPr>
        <w:spacing w:line="560" w:lineRule="exact"/>
        <w:rPr>
          <w:rFonts w:hint="eastAsia" w:ascii="仿宋_GB2312" w:hAnsi="仿宋_GB2312" w:eastAsia="仿宋_GB2312" w:cs="仿宋_GB2312"/>
          <w:sz w:val="32"/>
          <w:szCs w:val="32"/>
        </w:rPr>
      </w:pPr>
    </w:p>
    <w:p>
      <w:pPr>
        <w:spacing w:line="560" w:lineRule="exact"/>
        <w:rPr>
          <w:rFonts w:hint="eastAsia" w:ascii="仿宋_GB2312" w:eastAsia="仿宋_GB2312"/>
          <w:sz w:val="32"/>
          <w:szCs w:val="32"/>
          <w:lang w:val="en-US" w:eastAsia="zh-CN"/>
        </w:rPr>
      </w:pPr>
      <w:bookmarkStart w:id="0" w:name="_GoBack"/>
      <w:bookmarkEnd w:id="0"/>
    </w:p>
    <w:sectPr>
      <w:headerReference r:id="rId4" w:type="first"/>
      <w:footerReference r:id="rId6" w:type="first"/>
      <w:headerReference r:id="rId3" w:type="default"/>
      <w:footerReference r:id="rId5" w:type="default"/>
      <w:pgSz w:w="11906" w:h="16838"/>
      <w:pgMar w:top="1984" w:right="1587" w:bottom="1474" w:left="1587" w:header="851" w:footer="1134" w:gutter="0"/>
      <w:pgNumType w:fmt="numberInDash"/>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roma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方正大标宋简体">
    <w:altName w:val="Arial Unicode MS"/>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方正楷体_GBK">
    <w:altName w:val="Arial Unicode MS"/>
    <w:panose1 w:val="03000509000000000000"/>
    <w:charset w:val="86"/>
    <w:family w:val="script"/>
    <w:pitch w:val="default"/>
    <w:sig w:usb0="00000000" w:usb1="00000000" w:usb2="00000000" w:usb3="00000000" w:csb0="00040000" w:csb1="00000000"/>
  </w:font>
  <w:font w:name="方正黑体_GBK">
    <w:altName w:val="Arial Unicode MS"/>
    <w:panose1 w:val="03000509000000000000"/>
    <w:charset w:val="86"/>
    <w:family w:val="script"/>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GulimChe">
    <w:panose1 w:val="020B0609000101010101"/>
    <w:charset w:val="81"/>
    <w:family w:val="auto"/>
    <w:pitch w:val="default"/>
    <w:sig w:usb0="B00002AF" w:usb1="69D77CFB" w:usb2="00000030" w:usb3="00000000" w:csb0="4008009F" w:csb1="DFD70000"/>
  </w:font>
  <w:font w:name="Garamond">
    <w:panose1 w:val="02020404030301010803"/>
    <w:charset w:val="00"/>
    <w:family w:val="modern"/>
    <w:pitch w:val="default"/>
    <w:sig w:usb0="00000287"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 w:name="方正大标宋_GBK">
    <w:altName w:val="宋体"/>
    <w:panose1 w:val="03000509000000000000"/>
    <w:charset w:val="86"/>
    <w:family w:val="auto"/>
    <w:pitch w:val="default"/>
    <w:sig w:usb0="00000000" w:usb1="00000000" w:usb2="0000000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 w:name="Cambria">
    <w:panose1 w:val="02040503050406030204"/>
    <w:charset w:val="01"/>
    <w:family w:val="decorative"/>
    <w:pitch w:val="default"/>
    <w:sig w:usb0="E00002FF" w:usb1="400004FF" w:usb2="00000000" w:usb3="00000000" w:csb0="2000019F" w:csb1="00000000"/>
  </w:font>
  <w:font w:name="Courier New">
    <w:panose1 w:val="02070309020205020404"/>
    <w:charset w:val="00"/>
    <w:family w:val="roman"/>
    <w:pitch w:val="default"/>
    <w:sig w:usb0="E0002AFF" w:usb1="C0007843" w:usb2="00000009" w:usb3="00000000" w:csb0="400001FF" w:csb1="FFFF0000"/>
  </w:font>
  <w:font w:name="Tahoma">
    <w:panose1 w:val="020B0604030504040204"/>
    <w:charset w:val="00"/>
    <w:family w:val="modern"/>
    <w:pitch w:val="default"/>
    <w:sig w:usb0="E1002EFF" w:usb1="C000605B" w:usb2="00000029" w:usb3="00000000" w:csb0="200101FF" w:csb1="20280000"/>
  </w:font>
  <w:font w:name="Calibri Light">
    <w:panose1 w:val="020F0302020204030204"/>
    <w:charset w:val="01"/>
    <w:family w:val="auto"/>
    <w:pitch w:val="default"/>
    <w:sig w:usb0="A00002EF" w:usb1="4000207B" w:usb2="00000000" w:usb3="00000000" w:csb0="2000019F" w:csb1="00000000"/>
  </w:font>
  <w:font w:name="方正仿宋简体">
    <w:altName w:val="Arial Unicode MS"/>
    <w:panose1 w:val="02010601030101010101"/>
    <w:charset w:val="86"/>
    <w:family w:val="script"/>
    <w:pitch w:val="default"/>
    <w:sig w:usb0="00000000" w:usb1="00000000" w:usb2="00000000" w:usb3="00000000" w:csb0="00040000" w:csb1="00000000"/>
  </w:font>
  <w:font w:name="Verdana">
    <w:panose1 w:val="020B0604030504040204"/>
    <w:charset w:val="00"/>
    <w:family w:val="modern"/>
    <w:pitch w:val="default"/>
    <w:sig w:usb0="A10006FF" w:usb1="4000205B" w:usb2="00000010" w:usb3="00000000" w:csb0="2000019F" w:csb1="00000000"/>
  </w:font>
  <w:font w:name="Arial Unicode MS">
    <w:panose1 w:val="020B0604020202020204"/>
    <w:charset w:val="86"/>
    <w:family w:val="decorative"/>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 w:name="方正楷体简体">
    <w:altName w:val="楷体_GB2312"/>
    <w:panose1 w:val="02010601030101010101"/>
    <w:charset w:val="86"/>
    <w:family w:val="script"/>
    <w:pitch w:val="default"/>
    <w:sig w:usb0="00000000" w:usb1="00000000" w:usb2="00000000" w:usb3="00000000" w:csb0="00040000" w:csb1="00000000"/>
  </w:font>
  <w:font w:name="方正宋三简体">
    <w:altName w:val="宋体"/>
    <w:panose1 w:val="02010601030101010101"/>
    <w:charset w:val="86"/>
    <w:family w:val="script"/>
    <w:pitch w:val="default"/>
    <w:sig w:usb0="00000000" w:usb1="00000000" w:usb2="00000000" w:usb3="00000000" w:csb0="00040000" w:csb1="00000000"/>
  </w:font>
  <w:font w:name="方正黑体简体">
    <w:altName w:val="Arial Unicode MS"/>
    <w:panose1 w:val="02010601030101010101"/>
    <w:charset w:val="86"/>
    <w:family w:val="script"/>
    <w:pitch w:val="default"/>
    <w:sig w:usb0="00000000" w:usb1="00000000" w:usb2="00000000" w:usb3="00000000" w:csb0="00040000" w:csb1="00000000"/>
  </w:font>
  <w:font w:name="体坛超黑简体">
    <w:altName w:val="黑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123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23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8.85pt;mso-position-horizontal:outside;mso-position-horizontal-relative:margin;z-index:251658240;mso-width-relative:page;mso-height-relative:page;" filled="f" stroked="f" coordsize="21600,21600" o:gfxdata="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tG5o/0wAAAAQBAAAPAAAA&#10;AAAAAAEAIAAAACIAAABkcnMvZG93bnJldi54bWxQSwECFAAUAAAACACHTuJAuVldiBoCAAAUBAAA&#10;DgAAAAAAAAABACAAAAAiAQAAZHJzL2Uyb0RvYy54bWxQSwUGAAAAAAYABgBZAQAArgUAAAAA&#10;">
              <v:fill on="f" focussize="0,0"/>
              <v:stroke on="f" weight="0.5pt"/>
              <v:imagedata o:title=""/>
              <o:lock v:ext="edit" aspectratio="f"/>
              <v:textbox inset="0mm,0mm,0mm,0mm" style="mso-fit-shape-to-text:t;">
                <w:txbxContent>
                  <w:p>
                    <w:pPr>
                      <w:rPr>
                        <w:rFonts w:hint="eastAsia"/>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21A74"/>
    <w:rsid w:val="041915CF"/>
    <w:rsid w:val="04900922"/>
    <w:rsid w:val="05BC4D9D"/>
    <w:rsid w:val="09D038AA"/>
    <w:rsid w:val="0C362F68"/>
    <w:rsid w:val="0C3B6C2A"/>
    <w:rsid w:val="10960A63"/>
    <w:rsid w:val="13190BE8"/>
    <w:rsid w:val="15FC1E4C"/>
    <w:rsid w:val="16992049"/>
    <w:rsid w:val="176111E3"/>
    <w:rsid w:val="1B3635E7"/>
    <w:rsid w:val="1CB07798"/>
    <w:rsid w:val="1ED01DBB"/>
    <w:rsid w:val="1EF56F83"/>
    <w:rsid w:val="20562162"/>
    <w:rsid w:val="23C230F8"/>
    <w:rsid w:val="24410842"/>
    <w:rsid w:val="29B41502"/>
    <w:rsid w:val="29D320CB"/>
    <w:rsid w:val="29D76C49"/>
    <w:rsid w:val="2C664806"/>
    <w:rsid w:val="2E1E5127"/>
    <w:rsid w:val="2FBC2D4A"/>
    <w:rsid w:val="328B31C1"/>
    <w:rsid w:val="33C55CCA"/>
    <w:rsid w:val="34285559"/>
    <w:rsid w:val="34FA3DD5"/>
    <w:rsid w:val="37633C77"/>
    <w:rsid w:val="380B4665"/>
    <w:rsid w:val="3B9B7F95"/>
    <w:rsid w:val="43E9412C"/>
    <w:rsid w:val="47E4653B"/>
    <w:rsid w:val="47FB4C3D"/>
    <w:rsid w:val="4D572DB5"/>
    <w:rsid w:val="4FE3624A"/>
    <w:rsid w:val="54876D07"/>
    <w:rsid w:val="5A8D5D55"/>
    <w:rsid w:val="5BCD3111"/>
    <w:rsid w:val="5BF309EE"/>
    <w:rsid w:val="5F0F3865"/>
    <w:rsid w:val="5F3B0364"/>
    <w:rsid w:val="602E58D9"/>
    <w:rsid w:val="67597CEF"/>
    <w:rsid w:val="67BB7488"/>
    <w:rsid w:val="68DE68AD"/>
    <w:rsid w:val="68F62F27"/>
    <w:rsid w:val="6B312B76"/>
    <w:rsid w:val="72575184"/>
    <w:rsid w:val="74E71731"/>
    <w:rsid w:val="78382433"/>
    <w:rsid w:val="7CDE25D9"/>
    <w:rsid w:val="7D07455E"/>
    <w:rsid w:val="7DA319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Garamond" w:hAnsi="Garamond" w:cs="Garamond"/>
      <w:sz w:val="32"/>
    </w:rPr>
  </w:style>
  <w:style w:type="paragraph" w:styleId="3">
    <w:name w:val="Body Text Indent"/>
    <w:basedOn w:val="1"/>
    <w:qFormat/>
    <w:uiPriority w:val="0"/>
    <w:pPr>
      <w:ind w:firstLine="880"/>
      <w:jc w:val="center"/>
    </w:pPr>
    <w:rPr>
      <w:rFonts w:eastAsia="黑体"/>
      <w:sz w:val="4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8">
    <w:name w:val="page number"/>
    <w:basedOn w:val="7"/>
    <w:qFormat/>
    <w:uiPriority w:val="0"/>
  </w:style>
  <w:style w:type="paragraph" w:customStyle="1" w:styleId="10">
    <w:name w:val="p"/>
    <w:basedOn w:val="1"/>
    <w:qFormat/>
    <w:uiPriority w:val="0"/>
    <w:pPr>
      <w:widowControl/>
      <w:spacing w:before="100" w:beforeAutospacing="1" w:after="100" w:afterAutospacing="1"/>
      <w:jc w:val="left"/>
    </w:pPr>
    <w:rPr>
      <w:rFonts w:ascii="宋体" w:hAnsi="宋体" w:cs="宋体"/>
      <w:kern w:val="0"/>
      <w:sz w:val="24"/>
    </w:rPr>
  </w:style>
  <w:style w:type="character" w:customStyle="1" w:styleId="11">
    <w:name w:val="apple-converted-space"/>
    <w:basedOn w:val="7"/>
    <w:qFormat/>
    <w:uiPriority w:val="0"/>
  </w:style>
  <w:style w:type="character" w:customStyle="1" w:styleId="12">
    <w:name w:val="font41"/>
    <w:basedOn w:val="7"/>
    <w:qFormat/>
    <w:uiPriority w:val="0"/>
    <w:rPr>
      <w:rFonts w:ascii="宋体" w:hAnsi="宋体" w:eastAsia="宋体" w:cs="宋体"/>
      <w:color w:val="000000"/>
      <w:sz w:val="20"/>
      <w:szCs w:val="20"/>
      <w:u w:val="none"/>
    </w:rPr>
  </w:style>
  <w:style w:type="character" w:customStyle="1" w:styleId="13">
    <w:name w:val="font21"/>
    <w:basedOn w:val="7"/>
    <w:qFormat/>
    <w:uiPriority w:val="0"/>
    <w:rPr>
      <w:rFonts w:ascii="宋体" w:hAnsi="宋体" w:eastAsia="宋体" w:cs="宋体"/>
      <w:color w:val="FF0000"/>
      <w:sz w:val="20"/>
      <w:szCs w:val="20"/>
      <w:u w:val="none"/>
    </w:rPr>
  </w:style>
  <w:style w:type="character" w:customStyle="1" w:styleId="14">
    <w:name w:val="font81"/>
    <w:basedOn w:val="7"/>
    <w:qFormat/>
    <w:uiPriority w:val="0"/>
    <w:rPr>
      <w:rFonts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杨冬燕</cp:lastModifiedBy>
  <cp:lastPrinted>2017-12-19T07:34:00Z</cp:lastPrinted>
  <dcterms:modified xsi:type="dcterms:W3CDTF">2017-12-20T01:08:16Z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