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kern w:val="0"/>
          <w:sz w:val="32"/>
          <w:szCs w:val="32"/>
        </w:rPr>
      </w:pPr>
    </w:p>
    <w:p>
      <w:pPr>
        <w:pStyle w:val="2"/>
        <w:rPr>
          <w:rFonts w:hint="eastAsia"/>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kern w:val="0"/>
          <w:sz w:val="44"/>
          <w:szCs w:val="44"/>
        </w:rPr>
      </w:pPr>
      <w:r>
        <w:rPr>
          <w:rFonts w:hint="eastAsia" w:ascii="宋体" w:hAnsi="宋体" w:eastAsia="宋体" w:cs="宋体"/>
          <w:color w:val="000000"/>
          <w:kern w:val="0"/>
          <w:sz w:val="44"/>
          <w:szCs w:val="44"/>
        </w:rPr>
        <w:t>宁夏回族自治区全民阅读促进条例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宋体" w:hAnsi="宋体" w:eastAsia="宋体" w:cs="宋体"/>
          <w:b w:val="0"/>
          <w:bCs/>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center"/>
        <w:textAlignment w:val="auto"/>
        <w:outlineLvl w:val="9"/>
        <w:rPr>
          <w:rFonts w:hint="eastAsia" w:ascii="楷体" w:hAnsi="楷体" w:eastAsia="楷体"/>
          <w:sz w:val="32"/>
          <w:szCs w:val="32"/>
        </w:rPr>
      </w:pPr>
      <w:r>
        <w:rPr>
          <w:rFonts w:hint="eastAsia" w:ascii="楷体_GB2312" w:eastAsia="楷体_GB2312"/>
          <w:b w:val="0"/>
          <w:bCs/>
          <w:sz w:val="32"/>
          <w:szCs w:val="32"/>
          <w:lang w:val="en-US" w:eastAsia="zh-CN"/>
        </w:rPr>
        <w:t xml:space="preserve"> </w:t>
      </w:r>
      <w:r>
        <w:rPr>
          <w:rFonts w:hint="eastAsia" w:ascii="楷体_GB2312" w:eastAsia="楷体_GB2312"/>
          <w:b w:val="0"/>
          <w:bCs/>
          <w:sz w:val="32"/>
          <w:szCs w:val="32"/>
          <w:lang w:eastAsia="zh-CN"/>
        </w:rPr>
        <w:t>（</w:t>
      </w:r>
      <w:r>
        <w:rPr>
          <w:rFonts w:hint="eastAsia" w:ascii="楷体" w:hAnsi="楷体" w:eastAsia="楷体"/>
          <w:sz w:val="32"/>
          <w:szCs w:val="32"/>
        </w:rPr>
        <w:t>20</w:t>
      </w:r>
      <w:r>
        <w:rPr>
          <w:rFonts w:hint="eastAsia" w:ascii="楷体" w:hAnsi="楷体" w:eastAsia="楷体"/>
          <w:sz w:val="32"/>
          <w:szCs w:val="32"/>
          <w:lang w:val="en-US" w:eastAsia="zh-CN"/>
        </w:rPr>
        <w:t>20</w:t>
      </w:r>
      <w:r>
        <w:rPr>
          <w:rFonts w:hint="eastAsia" w:ascii="楷体" w:hAnsi="楷体" w:eastAsia="楷体"/>
          <w:sz w:val="32"/>
          <w:szCs w:val="32"/>
        </w:rPr>
        <w:t>年</w:t>
      </w:r>
      <w:r>
        <w:rPr>
          <w:rFonts w:hint="eastAsia" w:ascii="楷体" w:hAnsi="楷体" w:eastAsia="楷体"/>
          <w:sz w:val="32"/>
          <w:szCs w:val="32"/>
          <w:lang w:val="en-US" w:eastAsia="zh-CN"/>
        </w:rPr>
        <w:t>11</w:t>
      </w:r>
      <w:r>
        <w:rPr>
          <w:rFonts w:hint="eastAsia" w:ascii="楷体" w:hAnsi="楷体" w:eastAsia="楷体"/>
          <w:sz w:val="32"/>
          <w:szCs w:val="32"/>
        </w:rPr>
        <w:t>月</w:t>
      </w:r>
      <w:r>
        <w:rPr>
          <w:rFonts w:hint="eastAsia" w:ascii="楷体" w:hAnsi="楷体" w:eastAsia="楷体"/>
          <w:sz w:val="32"/>
          <w:szCs w:val="32"/>
          <w:lang w:val="en-US" w:eastAsia="zh-CN"/>
        </w:rPr>
        <w:t>25</w:t>
      </w:r>
      <w:r>
        <w:rPr>
          <w:rFonts w:hint="eastAsia" w:ascii="楷体" w:hAnsi="楷体" w:eastAsia="楷体"/>
          <w:sz w:val="32"/>
          <w:szCs w:val="32"/>
        </w:rPr>
        <w:t>日宁夏回族自治区第十</w:t>
      </w:r>
      <w:r>
        <w:rPr>
          <w:rFonts w:hint="eastAsia" w:ascii="楷体" w:hAnsi="楷体" w:eastAsia="楷体"/>
          <w:sz w:val="32"/>
          <w:szCs w:val="32"/>
          <w:lang w:eastAsia="zh-CN"/>
        </w:rPr>
        <w:t>二</w:t>
      </w:r>
      <w:r>
        <w:rPr>
          <w:rFonts w:hint="eastAsia" w:ascii="楷体" w:hAnsi="楷体" w:eastAsia="楷体"/>
          <w:sz w:val="32"/>
          <w:szCs w:val="32"/>
        </w:rPr>
        <w:t>届</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center"/>
        <w:textAlignment w:val="auto"/>
        <w:outlineLvl w:val="9"/>
        <w:rPr>
          <w:rFonts w:hint="eastAsia" w:ascii="楷体_GB2312" w:eastAsia="楷体_GB2312"/>
          <w:b/>
          <w:sz w:val="32"/>
          <w:szCs w:val="32"/>
          <w:lang w:val="en-US" w:eastAsia="zh-CN"/>
        </w:rPr>
      </w:pPr>
      <w:r>
        <w:rPr>
          <w:rFonts w:hint="eastAsia" w:ascii="楷体" w:hAnsi="楷体" w:eastAsia="楷体"/>
          <w:sz w:val="32"/>
          <w:szCs w:val="32"/>
          <w:lang w:val="en-US" w:eastAsia="zh-CN"/>
        </w:rPr>
        <w:t xml:space="preserve">   </w:t>
      </w:r>
      <w:r>
        <w:rPr>
          <w:rFonts w:hint="eastAsia" w:ascii="楷体" w:hAnsi="楷体" w:eastAsia="楷体"/>
          <w:sz w:val="32"/>
          <w:szCs w:val="32"/>
        </w:rPr>
        <w:t>人民代表大会常务委员会第</w:t>
      </w:r>
      <w:r>
        <w:rPr>
          <w:rFonts w:hint="eastAsia" w:ascii="楷体" w:hAnsi="楷体" w:eastAsia="楷体"/>
          <w:sz w:val="32"/>
          <w:szCs w:val="32"/>
          <w:lang w:eastAsia="zh-CN"/>
        </w:rPr>
        <w:t>二十三</w:t>
      </w:r>
      <w:r>
        <w:rPr>
          <w:rFonts w:hint="eastAsia" w:ascii="楷体" w:hAnsi="楷体" w:eastAsia="楷体"/>
          <w:sz w:val="32"/>
          <w:szCs w:val="32"/>
        </w:rPr>
        <w:t>次会议</w:t>
      </w:r>
      <w:r>
        <w:rPr>
          <w:rFonts w:hint="eastAsia" w:ascii="楷体" w:hAnsi="楷体" w:eastAsia="楷体"/>
          <w:sz w:val="32"/>
          <w:szCs w:val="32"/>
          <w:lang w:eastAsia="zh-CN"/>
        </w:rPr>
        <w:t>通过</w:t>
      </w:r>
      <w:r>
        <w:rPr>
          <w:rFonts w:hint="eastAsia" w:ascii="楷体_GB2312" w:eastAsia="楷体_GB2312"/>
          <w:b w:val="0"/>
          <w:bCs/>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楷体" w:hAnsi="楷体" w:eastAsia="楷体" w:cs="楷体"/>
          <w:sz w:val="32"/>
          <w:szCs w:val="32"/>
          <w:lang w:val="en-US" w:eastAsia="zh-CN"/>
        </w:rPr>
      </w:pPr>
      <w:r>
        <w:rPr>
          <w:rFonts w:hint="eastAsia" w:ascii="仿宋" w:hAnsi="仿宋" w:eastAsia="仿宋"/>
          <w:sz w:val="32"/>
          <w:szCs w:val="32"/>
          <w:lang w:val="en-US" w:eastAsia="zh-CN"/>
        </w:rPr>
        <w:t xml:space="preserve">                       </w:t>
      </w:r>
      <w:r>
        <w:rPr>
          <w:rFonts w:hint="eastAsia" w:ascii="楷体" w:hAnsi="楷体" w:eastAsia="楷体" w:cs="楷体"/>
          <w:sz w:val="32"/>
          <w:szCs w:val="32"/>
          <w:lang w:val="en-US" w:eastAsia="zh-CN"/>
        </w:rPr>
        <w:t xml:space="preserve">目   录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楷体" w:hAnsi="楷体" w:eastAsia="楷体" w:cs="楷体"/>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第一章   总则</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第二章   全民阅读服务 </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第三章   重点群体阅读服务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0" w:firstLineChars="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第四章   全民阅读保障</w:t>
      </w:r>
    </w:p>
    <w:p>
      <w:pPr>
        <w:keepNext w:val="0"/>
        <w:keepLines w:val="0"/>
        <w:pageBreakBefore w:val="0"/>
        <w:widowControl w:val="0"/>
        <w:numPr>
          <w:ilvl w:val="0"/>
          <w:numId w:val="1"/>
        </w:numPr>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法律责任</w:t>
      </w:r>
    </w:p>
    <w:p>
      <w:pPr>
        <w:keepNext w:val="0"/>
        <w:keepLines w:val="0"/>
        <w:pageBreakBefore w:val="0"/>
        <w:widowControl w:val="0"/>
        <w:numPr>
          <w:ilvl w:val="0"/>
          <w:numId w:val="0"/>
        </w:numPr>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第六章   附则</w:t>
      </w: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Times New Roman" w:eastAsia="仿宋_GB2312" w:cs="Calibri"/>
          <w:color w:val="000000"/>
          <w:sz w:val="32"/>
          <w:szCs w:val="32"/>
        </w:rPr>
      </w:pPr>
      <w:r>
        <w:rPr>
          <w:rFonts w:hint="eastAsia" w:ascii="仿宋_GB2312" w:hAnsi="仿宋_GB2312" w:eastAsia="黑体" w:cs="仿宋_GB2312"/>
          <w:sz w:val="32"/>
          <w:szCs w:val="32"/>
        </w:rPr>
        <w:t>第一条</w:t>
      </w:r>
      <w:r>
        <w:rPr>
          <w:rFonts w:hint="eastAsia" w:ascii="黑体" w:hAnsi="黑体" w:eastAsia="黑体" w:cs="黑体"/>
          <w:sz w:val="32"/>
          <w:szCs w:val="32"/>
          <w:lang w:val="en-US" w:eastAsia="zh-CN"/>
        </w:rPr>
        <w:t xml:space="preserve">  </w:t>
      </w:r>
      <w:r>
        <w:rPr>
          <w:rFonts w:hint="eastAsia" w:ascii="仿宋_GB2312" w:hAnsi="Times New Roman" w:eastAsia="仿宋_GB2312" w:cs="Calibri"/>
          <w:color w:val="000000"/>
          <w:sz w:val="32"/>
          <w:szCs w:val="32"/>
        </w:rPr>
        <w:t>为了促进全民阅读，提高公民科学文化素质和社会文明程度，弘扬社会主义核心价值观，坚定文化自信，传承文明，根据《中华人民共和国公共文化服务保障法》</w:t>
      </w:r>
      <w:r>
        <w:rPr>
          <w:rFonts w:hint="eastAsia" w:ascii="仿宋_GB2312" w:hAnsi="Times New Roman" w:eastAsia="仿宋_GB2312" w:cs="Calibri"/>
          <w:color w:val="000000"/>
          <w:sz w:val="32"/>
          <w:szCs w:val="32"/>
          <w:lang w:eastAsia="zh-CN"/>
        </w:rPr>
        <w:t>和有关</w:t>
      </w:r>
      <w:r>
        <w:rPr>
          <w:rFonts w:hint="eastAsia" w:ascii="仿宋_GB2312" w:hAnsi="Times New Roman" w:eastAsia="仿宋_GB2312" w:cs="Calibri"/>
          <w:color w:val="000000"/>
          <w:sz w:val="32"/>
          <w:szCs w:val="32"/>
        </w:rPr>
        <w:t>法律、行政法规，结合自治区实际，制定本条例。</w:t>
      </w:r>
    </w:p>
    <w:p>
      <w:pPr>
        <w:pStyle w:val="2"/>
        <w:keepNext w:val="0"/>
        <w:keepLines w:val="0"/>
        <w:pageBreakBefore w:val="0"/>
        <w:widowControl w:val="0"/>
        <w:tabs>
          <w:tab w:val="clear" w:pos="4153"/>
          <w:tab w:val="clear" w:pos="8306"/>
        </w:tabs>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楷体" w:hAnsi="楷体" w:eastAsia="楷体" w:cs="楷体"/>
        </w:rPr>
      </w:pPr>
      <w:r>
        <w:rPr>
          <w:rFonts w:hint="eastAsia" w:ascii="黑体" w:hAnsi="黑体" w:eastAsia="黑体" w:cs="黑体"/>
          <w:b w:val="0"/>
          <w:bCs/>
          <w:color w:val="000000"/>
          <w:sz w:val="32"/>
          <w:szCs w:val="32"/>
        </w:rPr>
        <w:t>第二条</w:t>
      </w:r>
      <w:r>
        <w:rPr>
          <w:rFonts w:hint="eastAsia" w:ascii="黑体" w:hAnsi="黑体" w:eastAsia="黑体" w:cs="黑体"/>
          <w:b w:val="0"/>
          <w:bCs/>
          <w:color w:val="000000"/>
          <w:sz w:val="32"/>
          <w:szCs w:val="32"/>
          <w:lang w:val="en-US" w:eastAsia="zh-CN"/>
        </w:rPr>
        <w:t xml:space="preserve">  </w:t>
      </w:r>
      <w:r>
        <w:rPr>
          <w:rFonts w:hint="eastAsia" w:ascii="仿宋_GB2312" w:hAnsi="Times New Roman" w:eastAsia="仿宋_GB2312" w:cs="Calibri"/>
          <w:color w:val="000000"/>
          <w:kern w:val="2"/>
          <w:sz w:val="32"/>
          <w:szCs w:val="32"/>
          <w:lang w:val="en-US" w:eastAsia="zh-CN" w:bidi="ar-SA"/>
        </w:rPr>
        <w:t>本条例适用于自治区行政区域内全民阅读促进、服务和保障等活动。</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b/>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全民阅读促进工作遵循政府主导、社会参与、</w:t>
      </w:r>
      <w:r>
        <w:rPr>
          <w:rFonts w:hint="eastAsia" w:ascii="仿宋_GB2312" w:hAnsi="仿宋_GB2312" w:eastAsia="仿宋_GB2312" w:cs="仿宋_GB2312"/>
          <w:sz w:val="32"/>
          <w:szCs w:val="32"/>
          <w:u w:val="none"/>
        </w:rPr>
        <w:t>公益普惠</w:t>
      </w:r>
      <w:r>
        <w:rPr>
          <w:rFonts w:hint="eastAsia" w:ascii="仿宋_GB2312" w:hAnsi="仿宋_GB2312" w:eastAsia="仿宋_GB2312" w:cs="仿宋_GB2312"/>
          <w:sz w:val="32"/>
          <w:szCs w:val="32"/>
        </w:rPr>
        <w:t>、保障重点、共建共享的原则。</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w:t>
      </w:r>
      <w:r>
        <w:rPr>
          <w:rFonts w:hint="eastAsia" w:ascii="仿宋_GB2312" w:hAnsi="仿宋_GB2312" w:eastAsia="仿宋_GB2312" w:cs="仿宋_GB2312"/>
          <w:sz w:val="32"/>
          <w:szCs w:val="32"/>
          <w:lang w:eastAsia="zh-CN"/>
        </w:rPr>
        <w:t>应当将</w:t>
      </w:r>
      <w:r>
        <w:rPr>
          <w:rFonts w:hint="eastAsia" w:ascii="仿宋_GB2312" w:hAnsi="仿宋_GB2312" w:eastAsia="仿宋_GB2312" w:cs="仿宋_GB2312"/>
          <w:sz w:val="32"/>
          <w:szCs w:val="32"/>
        </w:rPr>
        <w:t>全民</w:t>
      </w:r>
      <w:r>
        <w:rPr>
          <w:rFonts w:hint="eastAsia" w:ascii="仿宋_GB2312" w:hAnsi="仿宋_GB2312" w:eastAsia="仿宋_GB2312" w:cs="仿宋_GB2312"/>
          <w:sz w:val="32"/>
          <w:szCs w:val="32"/>
          <w:lang w:eastAsia="zh-CN"/>
        </w:rPr>
        <w:t>阅读</w:t>
      </w:r>
      <w:r>
        <w:rPr>
          <w:rFonts w:hint="eastAsia" w:ascii="仿宋_GB2312" w:hAnsi="仿宋_GB2312" w:eastAsia="仿宋_GB2312" w:cs="仿宋_GB2312"/>
          <w:sz w:val="32"/>
          <w:szCs w:val="32"/>
          <w:lang w:val="en-US" w:eastAsia="zh-CN"/>
        </w:rPr>
        <w:t>促进工作</w:t>
      </w:r>
      <w:r>
        <w:rPr>
          <w:rFonts w:hint="eastAsia" w:ascii="仿宋_GB2312" w:hAnsi="仿宋_GB2312" w:eastAsia="仿宋_GB2312" w:cs="仿宋_GB2312"/>
          <w:sz w:val="32"/>
          <w:szCs w:val="32"/>
          <w:lang w:eastAsia="zh-CN"/>
        </w:rPr>
        <w:t>纳入国民经济和社会发展规划，</w:t>
      </w:r>
      <w:r>
        <w:rPr>
          <w:rFonts w:hint="eastAsia" w:ascii="仿宋_GB2312" w:hAnsi="仿宋_GB2312" w:eastAsia="仿宋_GB2312" w:cs="仿宋_GB2312"/>
          <w:sz w:val="32"/>
          <w:szCs w:val="32"/>
          <w:lang w:val="en-US" w:eastAsia="zh-CN"/>
        </w:rPr>
        <w:t>加强全民阅读服务设施建设，</w:t>
      </w:r>
      <w:r>
        <w:rPr>
          <w:rFonts w:hint="eastAsia" w:ascii="仿宋_GB2312" w:hAnsi="仿宋_GB2312" w:eastAsia="仿宋_GB2312" w:cs="仿宋_GB2312"/>
          <w:sz w:val="32"/>
          <w:szCs w:val="32"/>
          <w:lang w:eastAsia="zh-CN"/>
        </w:rPr>
        <w:t>建立全民阅读促进工作协调机制，</w:t>
      </w:r>
      <w:r>
        <w:rPr>
          <w:rFonts w:hint="eastAsia" w:ascii="仿宋_GB2312" w:hAnsi="仿宋_GB2312" w:eastAsia="仿宋_GB2312" w:cs="仿宋_GB2312"/>
          <w:sz w:val="32"/>
          <w:szCs w:val="32"/>
          <w:u w:val="none"/>
        </w:rPr>
        <w:t>统筹规划</w:t>
      </w:r>
      <w:r>
        <w:rPr>
          <w:rFonts w:hint="eastAsia" w:ascii="仿宋_GB2312" w:hAnsi="仿宋_GB2312" w:eastAsia="仿宋_GB2312" w:cs="仿宋_GB2312"/>
          <w:sz w:val="32"/>
          <w:szCs w:val="32"/>
          <w:u w:val="none"/>
          <w:lang w:eastAsia="zh-CN"/>
        </w:rPr>
        <w:t>、</w:t>
      </w:r>
      <w:r>
        <w:rPr>
          <w:rFonts w:hint="eastAsia" w:ascii="仿宋_GB2312" w:hAnsi="仿宋_GB2312" w:eastAsia="仿宋_GB2312" w:cs="仿宋_GB2312"/>
          <w:sz w:val="32"/>
          <w:szCs w:val="32"/>
          <w:u w:val="none"/>
        </w:rPr>
        <w:t>指导</w:t>
      </w:r>
      <w:r>
        <w:rPr>
          <w:rFonts w:hint="eastAsia" w:ascii="仿宋_GB2312" w:hAnsi="仿宋_GB2312" w:eastAsia="仿宋_GB2312" w:cs="仿宋_GB2312"/>
          <w:sz w:val="32"/>
          <w:szCs w:val="32"/>
          <w:u w:val="none"/>
          <w:lang w:eastAsia="zh-CN"/>
        </w:rPr>
        <w:t>、协调</w:t>
      </w:r>
      <w:r>
        <w:rPr>
          <w:rFonts w:hint="eastAsia" w:ascii="仿宋_GB2312" w:hAnsi="仿宋_GB2312" w:eastAsia="仿宋_GB2312" w:cs="仿宋_GB2312"/>
          <w:sz w:val="32"/>
          <w:szCs w:val="32"/>
          <w:u w:val="none"/>
        </w:rPr>
        <w:t>全民阅读促进工作</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县级以上人民政府新闻出版管理部门负责</w:t>
      </w:r>
      <w:r>
        <w:rPr>
          <w:rFonts w:hint="eastAsia" w:ascii="仿宋_GB2312" w:hAnsi="仿宋_GB2312" w:eastAsia="仿宋_GB2312" w:cs="仿宋_GB2312"/>
          <w:sz w:val="32"/>
          <w:szCs w:val="32"/>
        </w:rPr>
        <w:t>全民阅读促进工作</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文化和旅游、教育、科学技术</w:t>
      </w:r>
      <w:r>
        <w:rPr>
          <w:rFonts w:hint="eastAsia" w:ascii="仿宋_GB2312" w:hAnsi="仿宋_GB2312" w:eastAsia="仿宋_GB2312" w:cs="仿宋_GB2312"/>
          <w:sz w:val="32"/>
          <w:szCs w:val="32"/>
          <w:lang w:eastAsia="zh-CN"/>
        </w:rPr>
        <w:t>、农业农村</w:t>
      </w:r>
      <w:r>
        <w:rPr>
          <w:rFonts w:hint="eastAsia" w:ascii="仿宋_GB2312" w:hAnsi="仿宋_GB2312" w:eastAsia="仿宋_GB2312" w:cs="仿宋_GB2312"/>
          <w:sz w:val="32"/>
          <w:szCs w:val="32"/>
        </w:rPr>
        <w:t>等部门按照各自职责做好相关全民阅读促进工作。</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w:t>
      </w:r>
      <w:r>
        <w:rPr>
          <w:rFonts w:hint="eastAsia" w:ascii="仿宋_GB2312" w:hAnsi="仿宋_GB2312" w:eastAsia="仿宋_GB2312" w:cs="仿宋_GB2312"/>
          <w:sz w:val="32"/>
          <w:szCs w:val="32"/>
          <w:lang w:val="en-US" w:eastAsia="zh-CN"/>
        </w:rPr>
        <w:t>和</w:t>
      </w:r>
      <w:r>
        <w:rPr>
          <w:rFonts w:hint="eastAsia" w:ascii="仿宋_GB2312" w:hAnsi="仿宋_GB2312" w:eastAsia="仿宋_GB2312" w:cs="仿宋_GB2312"/>
          <w:sz w:val="32"/>
          <w:szCs w:val="32"/>
          <w:lang w:eastAsia="zh-CN"/>
        </w:rPr>
        <w:t>村民委员会、居民委员会</w:t>
      </w:r>
      <w:r>
        <w:rPr>
          <w:rFonts w:hint="eastAsia" w:ascii="仿宋_GB2312" w:hAnsi="仿宋_GB2312" w:eastAsia="仿宋_GB2312" w:cs="仿宋_GB2312"/>
          <w:sz w:val="32"/>
          <w:szCs w:val="32"/>
        </w:rPr>
        <w:t>根据实际</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组织开展全民阅读活动。</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工会、</w:t>
      </w:r>
      <w:r>
        <w:rPr>
          <w:rFonts w:hint="eastAsia" w:ascii="仿宋_GB2312" w:hAnsi="仿宋_GB2312" w:eastAsia="仿宋_GB2312" w:cs="仿宋_GB2312"/>
          <w:sz w:val="32"/>
          <w:szCs w:val="32"/>
          <w:lang w:eastAsia="zh-CN"/>
        </w:rPr>
        <w:t>共青团</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妇联、科协</w:t>
      </w:r>
      <w:r>
        <w:rPr>
          <w:rFonts w:hint="eastAsia" w:ascii="仿宋_GB2312" w:hAnsi="仿宋_GB2312" w:eastAsia="仿宋_GB2312" w:cs="仿宋_GB2312"/>
          <w:sz w:val="32"/>
          <w:szCs w:val="32"/>
        </w:rPr>
        <w:t>等</w:t>
      </w:r>
      <w:r>
        <w:rPr>
          <w:rFonts w:hint="eastAsia" w:ascii="仿宋_GB2312" w:hAnsi="仿宋_GB2312" w:eastAsia="仿宋_GB2312" w:cs="仿宋_GB2312"/>
          <w:sz w:val="32"/>
          <w:szCs w:val="32"/>
          <w:lang w:val="en-US" w:eastAsia="zh-CN"/>
        </w:rPr>
        <w:t>群团组织</w:t>
      </w:r>
      <w:r>
        <w:rPr>
          <w:rFonts w:hint="eastAsia" w:ascii="仿宋_GB2312" w:hAnsi="仿宋_GB2312" w:eastAsia="仿宋_GB2312" w:cs="仿宋_GB2312"/>
          <w:sz w:val="32"/>
          <w:szCs w:val="32"/>
        </w:rPr>
        <w:t>应当在各自的</w:t>
      </w:r>
      <w:r>
        <w:rPr>
          <w:rFonts w:hint="eastAsia" w:ascii="仿宋_GB2312" w:hAnsi="仿宋_GB2312" w:eastAsia="仿宋_GB2312" w:cs="仿宋_GB2312"/>
          <w:sz w:val="32"/>
          <w:szCs w:val="32"/>
          <w:lang w:eastAsia="zh-CN"/>
        </w:rPr>
        <w:t>职责</w:t>
      </w:r>
      <w:r>
        <w:rPr>
          <w:rFonts w:hint="eastAsia" w:ascii="仿宋_GB2312" w:hAnsi="仿宋_GB2312" w:eastAsia="仿宋_GB2312" w:cs="仿宋_GB2312"/>
          <w:sz w:val="32"/>
          <w:szCs w:val="32"/>
        </w:rPr>
        <w:t>范围内做好全民阅读促进工作。</w:t>
      </w:r>
    </w:p>
    <w:p>
      <w:pPr>
        <w:pStyle w:val="2"/>
        <w:keepNext w:val="0"/>
        <w:keepLines w:val="0"/>
        <w:pageBreakBefore w:val="0"/>
        <w:widowControl w:val="0"/>
        <w:tabs>
          <w:tab w:val="clear" w:pos="4153"/>
          <w:tab w:val="clear" w:pos="8306"/>
        </w:tabs>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县级以上人民政府及其有关部门应当加强对全民阅读的宣传，</w:t>
      </w:r>
      <w:r>
        <w:rPr>
          <w:rFonts w:hint="eastAsia" w:ascii="仿宋_GB2312" w:hAnsi="仿宋_GB2312" w:eastAsia="仿宋_GB2312" w:cs="仿宋_GB2312"/>
          <w:sz w:val="32"/>
          <w:szCs w:val="32"/>
          <w:lang w:eastAsia="zh-CN"/>
        </w:rPr>
        <w:t>引导公民</w:t>
      </w:r>
      <w:r>
        <w:rPr>
          <w:rFonts w:hint="eastAsia" w:ascii="仿宋_GB2312" w:hAnsi="仿宋_GB2312" w:eastAsia="仿宋_GB2312" w:cs="仿宋_GB2312"/>
          <w:sz w:val="32"/>
          <w:szCs w:val="32"/>
        </w:rPr>
        <w:t>增强阅读意识。</w:t>
      </w:r>
    </w:p>
    <w:p>
      <w:pPr>
        <w:pStyle w:val="2"/>
        <w:keepNext w:val="0"/>
        <w:keepLines w:val="0"/>
        <w:pageBreakBefore w:val="0"/>
        <w:widowControl w:val="0"/>
        <w:tabs>
          <w:tab w:val="clear" w:pos="4153"/>
          <w:tab w:val="clear" w:pos="8306"/>
        </w:tabs>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报纸、期刊、</w:t>
      </w:r>
      <w:r>
        <w:rPr>
          <w:rFonts w:hint="eastAsia" w:ascii="仿宋_GB2312" w:hAnsi="仿宋_GB2312" w:eastAsia="仿宋_GB2312" w:cs="仿宋_GB2312"/>
          <w:sz w:val="32"/>
          <w:szCs w:val="32"/>
          <w:lang w:eastAsia="zh-CN"/>
        </w:rPr>
        <w:t>广播</w:t>
      </w:r>
      <w:r>
        <w:rPr>
          <w:rFonts w:hint="eastAsia" w:ascii="仿宋_GB2312" w:hAnsi="仿宋_GB2312" w:eastAsia="仿宋_GB2312" w:cs="仿宋_GB2312"/>
          <w:sz w:val="32"/>
          <w:szCs w:val="32"/>
        </w:rPr>
        <w:t>、电视</w:t>
      </w:r>
      <w:r>
        <w:rPr>
          <w:rFonts w:hint="eastAsia" w:ascii="仿宋_GB2312" w:hAnsi="仿宋_GB2312" w:eastAsia="仿宋_GB2312" w:cs="仿宋_GB2312"/>
          <w:sz w:val="32"/>
          <w:szCs w:val="32"/>
          <w:lang w:val="en-US" w:eastAsia="zh-CN"/>
        </w:rPr>
        <w:t>等</w:t>
      </w:r>
      <w:r>
        <w:rPr>
          <w:rFonts w:hint="eastAsia" w:ascii="仿宋_GB2312" w:hAnsi="仿宋_GB2312" w:eastAsia="仿宋_GB2312" w:cs="仿宋_GB2312"/>
          <w:sz w:val="32"/>
          <w:szCs w:val="32"/>
        </w:rPr>
        <w:t>媒体</w:t>
      </w:r>
      <w:r>
        <w:rPr>
          <w:rFonts w:hint="eastAsia" w:ascii="仿宋_GB2312" w:hAnsi="仿宋_GB2312" w:eastAsia="仿宋_GB2312" w:cs="仿宋_GB2312"/>
          <w:sz w:val="32"/>
          <w:szCs w:val="32"/>
          <w:lang w:eastAsia="zh-CN"/>
        </w:rPr>
        <w:t>单位</w:t>
      </w:r>
      <w:r>
        <w:rPr>
          <w:rFonts w:hint="eastAsia" w:ascii="仿宋_GB2312" w:hAnsi="仿宋_GB2312" w:eastAsia="仿宋_GB2312" w:cs="仿宋_GB2312"/>
          <w:sz w:val="32"/>
          <w:szCs w:val="32"/>
        </w:rPr>
        <w:t>应当设立全民阅读专栏、专版、节目和时段，</w:t>
      </w:r>
      <w:r>
        <w:rPr>
          <w:rFonts w:hint="eastAsia" w:ascii="仿宋_GB2312" w:hAnsi="仿宋_GB2312" w:eastAsia="仿宋_GB2312" w:cs="仿宋_GB2312"/>
          <w:sz w:val="32"/>
          <w:szCs w:val="32"/>
          <w:lang w:val="en-US" w:eastAsia="zh-CN"/>
        </w:rPr>
        <w:t>宣传</w:t>
      </w:r>
      <w:r>
        <w:rPr>
          <w:rFonts w:hint="eastAsia" w:ascii="仿宋_GB2312" w:hAnsi="仿宋_GB2312" w:eastAsia="仿宋_GB2312" w:cs="仿宋_GB2312"/>
          <w:kern w:val="2"/>
          <w:sz w:val="32"/>
          <w:szCs w:val="32"/>
          <w:lang w:val="en-US" w:eastAsia="zh-CN" w:bidi="ar-SA"/>
        </w:rPr>
        <w:t>报道</w:t>
      </w:r>
      <w:r>
        <w:rPr>
          <w:rFonts w:hint="eastAsia" w:ascii="仿宋_GB2312" w:hAnsi="仿宋_GB2312" w:eastAsia="仿宋_GB2312" w:cs="仿宋_GB2312"/>
          <w:sz w:val="32"/>
          <w:szCs w:val="32"/>
        </w:rPr>
        <w:t>全民阅读活动，刊播全民阅读公益广告。</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鼓励网络运营商开展全民阅读公益宣传。</w:t>
      </w:r>
    </w:p>
    <w:p>
      <w:pPr>
        <w:pStyle w:val="2"/>
        <w:keepNext w:val="0"/>
        <w:keepLines w:val="0"/>
        <w:pageBreakBefore w:val="0"/>
        <w:widowControl w:val="0"/>
        <w:tabs>
          <w:tab w:val="clear" w:pos="4153"/>
          <w:tab w:val="clear" w:pos="8306"/>
        </w:tabs>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rPr>
      </w:pPr>
      <w:r>
        <w:rPr>
          <w:rFonts w:hint="eastAsia" w:ascii="黑体" w:hAnsi="黑体" w:eastAsia="黑体" w:cs="黑体"/>
          <w:sz w:val="32"/>
          <w:szCs w:val="32"/>
          <w:lang w:eastAsia="zh-CN"/>
        </w:rPr>
        <w:t>第</w:t>
      </w:r>
      <w:r>
        <w:rPr>
          <w:rFonts w:hint="eastAsia" w:ascii="黑体" w:hAnsi="黑体" w:eastAsia="黑体" w:cs="黑体"/>
          <w:sz w:val="32"/>
          <w:szCs w:val="32"/>
          <w:lang w:val="en-US" w:eastAsia="zh-CN"/>
        </w:rPr>
        <w:t>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w:t>
      </w:r>
      <w:r>
        <w:rPr>
          <w:rFonts w:hint="eastAsia" w:ascii="仿宋_GB2312" w:hAnsi="仿宋_GB2312" w:eastAsia="仿宋_GB2312" w:cs="仿宋_GB2312"/>
          <w:sz w:val="32"/>
          <w:szCs w:val="32"/>
          <w:u w:val="none"/>
        </w:rPr>
        <w:t>对在</w:t>
      </w:r>
      <w:r>
        <w:rPr>
          <w:rFonts w:hint="eastAsia" w:ascii="仿宋_GB2312" w:hAnsi="仿宋_GB2312" w:eastAsia="仿宋_GB2312" w:cs="仿宋_GB2312"/>
          <w:sz w:val="32"/>
          <w:szCs w:val="32"/>
          <w:lang w:eastAsia="zh-CN"/>
        </w:rPr>
        <w:t>组织参与</w:t>
      </w:r>
      <w:r>
        <w:rPr>
          <w:rFonts w:hint="eastAsia" w:ascii="仿宋_GB2312" w:hAnsi="仿宋_GB2312" w:eastAsia="仿宋_GB2312" w:cs="仿宋_GB2312"/>
          <w:sz w:val="32"/>
          <w:szCs w:val="32"/>
        </w:rPr>
        <w:t>全民阅读促进</w:t>
      </w:r>
      <w:r>
        <w:rPr>
          <w:rFonts w:hint="eastAsia" w:ascii="仿宋_GB2312" w:hAnsi="仿宋_GB2312" w:eastAsia="仿宋_GB2312" w:cs="仿宋_GB2312"/>
          <w:sz w:val="32"/>
          <w:szCs w:val="32"/>
          <w:lang w:eastAsia="zh-CN"/>
        </w:rPr>
        <w:t>活动</w:t>
      </w:r>
      <w:r>
        <w:rPr>
          <w:rFonts w:hint="eastAsia" w:ascii="仿宋_GB2312" w:hAnsi="仿宋_GB2312" w:eastAsia="仿宋_GB2312" w:cs="仿宋_GB2312"/>
          <w:sz w:val="32"/>
          <w:szCs w:val="32"/>
        </w:rPr>
        <w:t>中作出突出贡献的</w:t>
      </w:r>
      <w:r>
        <w:rPr>
          <w:rFonts w:hint="eastAsia" w:ascii="仿宋_GB2312" w:hAnsi="仿宋_GB2312" w:eastAsia="仿宋_GB2312" w:cs="仿宋_GB2312"/>
          <w:sz w:val="32"/>
          <w:szCs w:val="32"/>
          <w:lang w:eastAsia="zh-CN"/>
        </w:rPr>
        <w:t>单位和个人</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按照规定</w:t>
      </w:r>
      <w:r>
        <w:rPr>
          <w:rFonts w:hint="eastAsia" w:ascii="仿宋_GB2312" w:hAnsi="仿宋_GB2312" w:eastAsia="仿宋_GB2312" w:cs="仿宋_GB2312"/>
          <w:sz w:val="32"/>
          <w:szCs w:val="32"/>
          <w:u w:val="none"/>
        </w:rPr>
        <w:t>给予表彰和奖励。</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全民阅读服务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自治区</w:t>
      </w:r>
      <w:r>
        <w:rPr>
          <w:rFonts w:hint="eastAsia" w:ascii="仿宋_GB2312" w:hAnsi="仿宋_GB2312" w:eastAsia="仿宋_GB2312" w:cs="仿宋_GB2312"/>
          <w:sz w:val="32"/>
          <w:szCs w:val="32"/>
          <w:lang w:eastAsia="zh-CN"/>
        </w:rPr>
        <w:t>新闻出版管理部</w:t>
      </w:r>
      <w:r>
        <w:rPr>
          <w:rFonts w:hint="eastAsia" w:ascii="仿宋_GB2312" w:hAnsi="仿宋_GB2312" w:eastAsia="仿宋_GB2312" w:cs="仿宋_GB2312"/>
          <w:kern w:val="2"/>
          <w:sz w:val="32"/>
          <w:szCs w:val="32"/>
          <w:lang w:val="en-US" w:eastAsia="zh-CN" w:bidi="ar-SA"/>
        </w:rPr>
        <w:t>门应当鼓励和</w:t>
      </w:r>
      <w:r>
        <w:rPr>
          <w:rFonts w:hint="eastAsia" w:ascii="仿宋_GB2312" w:hAnsi="仿宋_GB2312" w:eastAsia="仿宋_GB2312" w:cs="仿宋_GB2312"/>
          <w:sz w:val="32"/>
          <w:szCs w:val="32"/>
        </w:rPr>
        <w:t>支持优秀出版物的出版。</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sz w:val="32"/>
          <w:szCs w:val="32"/>
        </w:rPr>
        <w:t>自治区新闻出版</w:t>
      </w:r>
      <w:r>
        <w:rPr>
          <w:rFonts w:hint="eastAsia" w:ascii="仿宋_GB2312" w:hAnsi="仿宋_GB2312" w:eastAsia="仿宋_GB2312" w:cs="仿宋_GB2312"/>
          <w:sz w:val="32"/>
          <w:szCs w:val="32"/>
          <w:lang w:val="en-US" w:eastAsia="zh-CN"/>
        </w:rPr>
        <w:t>管理部门应当会同</w:t>
      </w:r>
      <w:r>
        <w:rPr>
          <w:rFonts w:hint="eastAsia" w:ascii="仿宋_GB2312" w:hAnsi="仿宋_GB2312" w:eastAsia="仿宋_GB2312" w:cs="仿宋_GB2312"/>
          <w:sz w:val="32"/>
          <w:szCs w:val="32"/>
        </w:rPr>
        <w:t>文化和旅游、教育、科学技术、农业农村等部门，定期面向不同读者群体推荐优秀出</w:t>
      </w:r>
      <w:r>
        <w:rPr>
          <w:rFonts w:hint="eastAsia" w:ascii="仿宋_GB2312" w:hAnsi="仿宋_GB2312" w:eastAsia="仿宋_GB2312" w:cs="仿宋_GB2312"/>
          <w:kern w:val="2"/>
          <w:sz w:val="32"/>
          <w:szCs w:val="32"/>
          <w:lang w:val="en-US" w:eastAsia="zh-CN" w:bidi="ar-SA"/>
        </w:rPr>
        <w:t>版物目录。</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bdr w:val="single" w:color="auto" w:sz="4" w:space="0"/>
        </w:rPr>
      </w:pPr>
      <w:r>
        <w:rPr>
          <w:rFonts w:hint="eastAsia" w:ascii="黑体" w:hAnsi="黑体" w:eastAsia="黑体" w:cs="黑体"/>
          <w:sz w:val="32"/>
          <w:szCs w:val="32"/>
        </w:rPr>
        <w:t>第</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县级以上人民政府及其有关部门应</w:t>
      </w:r>
      <w:r>
        <w:rPr>
          <w:rFonts w:hint="eastAsia" w:ascii="仿宋_GB2312" w:hAnsi="仿宋_GB2312" w:eastAsia="仿宋_GB2312" w:cs="仿宋_GB2312"/>
          <w:kern w:val="2"/>
          <w:sz w:val="32"/>
          <w:szCs w:val="32"/>
          <w:lang w:val="en-US" w:eastAsia="zh-CN" w:bidi="ar-SA"/>
        </w:rPr>
        <w:t>当将公</w:t>
      </w:r>
      <w:r>
        <w:rPr>
          <w:rFonts w:hint="eastAsia" w:ascii="仿宋_GB2312" w:hAnsi="仿宋_GB2312" w:eastAsia="仿宋_GB2312" w:cs="仿宋_GB2312"/>
          <w:sz w:val="32"/>
          <w:szCs w:val="32"/>
        </w:rPr>
        <w:t>共图书馆</w:t>
      </w:r>
      <w:r>
        <w:rPr>
          <w:rFonts w:hint="eastAsia" w:ascii="仿宋_GB2312" w:hAnsi="仿宋_GB2312" w:eastAsia="仿宋_GB2312" w:cs="仿宋_GB2312"/>
          <w:kern w:val="2"/>
          <w:sz w:val="32"/>
          <w:szCs w:val="32"/>
          <w:lang w:val="en-US" w:eastAsia="zh-CN" w:bidi="ar-SA"/>
        </w:rPr>
        <w:t>、乡镇综合文化站、农家书屋、社区书屋、职工书屋等全民阅读公共服务设施建设纳入城乡规划，有计划地建设各类全民阅读公共服务设施，保障全民阅读公共服务设施的正常运营和服务。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lang w:eastAsia="zh-CN"/>
        </w:rPr>
        <w:t>第</w:t>
      </w:r>
      <w:r>
        <w:rPr>
          <w:rFonts w:hint="eastAsia" w:ascii="黑体" w:hAnsi="黑体" w:eastAsia="黑体" w:cs="黑体"/>
          <w:sz w:val="32"/>
          <w:szCs w:val="32"/>
          <w:lang w:eastAsia="zh-CN"/>
        </w:rPr>
        <w:t>九</w:t>
      </w:r>
      <w:r>
        <w:rPr>
          <w:rFonts w:hint="eastAsia" w:ascii="黑体" w:hAnsi="黑体" w:eastAsia="黑体" w:cs="黑体"/>
          <w:sz w:val="32"/>
          <w:szCs w:val="32"/>
          <w:lang w:val="en-US" w:eastAsia="zh-CN"/>
        </w:rPr>
        <w:t xml:space="preserve">条  </w:t>
      </w:r>
      <w:r>
        <w:rPr>
          <w:rFonts w:hint="eastAsia" w:ascii="仿宋_GB2312" w:hAnsi="仿宋_GB2312" w:eastAsia="仿宋_GB2312" w:cs="仿宋_GB2312"/>
          <w:sz w:val="32"/>
          <w:szCs w:val="32"/>
          <w:lang w:val="en-US" w:eastAsia="zh-CN"/>
        </w:rPr>
        <w:t>县级以上人民政府应</w:t>
      </w:r>
      <w:r>
        <w:rPr>
          <w:rFonts w:hint="eastAsia" w:ascii="仿宋_GB2312" w:hAnsi="仿宋_GB2312" w:eastAsia="仿宋_GB2312" w:cs="仿宋_GB2312"/>
          <w:kern w:val="2"/>
          <w:sz w:val="32"/>
          <w:szCs w:val="32"/>
          <w:lang w:val="en-US" w:eastAsia="zh-CN" w:bidi="ar-SA"/>
        </w:rPr>
        <w:t>当建立数字阅读服务平台，加强数字阅读设施建设，推动利用互联网、广播电视网和卫星网络等现代化传播技术提供阅读服务，提升</w:t>
      </w:r>
      <w:r>
        <w:rPr>
          <w:rFonts w:hint="eastAsia" w:ascii="仿宋_GB2312" w:hAnsi="仿宋_GB2312" w:eastAsia="仿宋_GB2312" w:cs="仿宋_GB2312"/>
          <w:sz w:val="32"/>
          <w:szCs w:val="32"/>
          <w:lang w:val="en-US" w:eastAsia="zh-CN"/>
        </w:rPr>
        <w:t>数字阅读服务能力，深化数字阅读与传统阅读融合发展。</w:t>
      </w:r>
    </w:p>
    <w:p>
      <w:pPr>
        <w:keepNext w:val="0"/>
        <w:keepLines w:val="0"/>
        <w:pageBreakBefore w:val="0"/>
        <w:widowControl w:val="0"/>
        <w:numPr>
          <w:ilvl w:val="0"/>
          <w:numId w:val="0"/>
        </w:numPr>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lang w:eastAsia="zh-CN"/>
        </w:rPr>
        <w:t>第</w:t>
      </w:r>
      <w:r>
        <w:rPr>
          <w:rFonts w:hint="eastAsia" w:ascii="黑体" w:hAnsi="黑体" w:eastAsia="黑体" w:cs="黑体"/>
          <w:sz w:val="32"/>
          <w:szCs w:val="32"/>
          <w:lang w:val="en-US" w:eastAsia="zh-CN"/>
        </w:rPr>
        <w:t xml:space="preserve">十条  </w:t>
      </w:r>
      <w:r>
        <w:rPr>
          <w:rFonts w:hint="eastAsia" w:ascii="仿宋_GB2312" w:hAnsi="仿宋_GB2312" w:eastAsia="仿宋_GB2312" w:cs="仿宋_GB2312"/>
          <w:kern w:val="2"/>
          <w:sz w:val="32"/>
          <w:szCs w:val="32"/>
          <w:lang w:val="en-US" w:eastAsia="zh-CN" w:bidi="ar-SA"/>
        </w:rPr>
        <w:t>公共图书馆加强数字资源建设，建立数字文献信息共享平台，实现与农家书屋、社区书屋等场所阅读终端的互联互通，为社会公众提供数字化阅读服务。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鼓励全民阅读服务单位利用数字技术，开发应用多媒体阅读产品，推广网络阅读、电子阅读等数字阅读方式。</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lang w:eastAsia="zh-CN"/>
        </w:rPr>
        <w:t>第</w:t>
      </w:r>
      <w:r>
        <w:rPr>
          <w:rFonts w:hint="eastAsia" w:ascii="黑体" w:hAnsi="黑体" w:eastAsia="黑体" w:cs="黑体"/>
          <w:sz w:val="32"/>
          <w:szCs w:val="32"/>
          <w:lang w:val="en-US" w:eastAsia="zh-CN"/>
        </w:rPr>
        <w:t xml:space="preserve">十一条  </w:t>
      </w:r>
      <w:r>
        <w:rPr>
          <w:rFonts w:hint="eastAsia" w:ascii="仿宋_GB2312" w:hAnsi="仿宋_GB2312" w:eastAsia="仿宋_GB2312" w:cs="仿宋_GB2312"/>
          <w:kern w:val="2"/>
          <w:sz w:val="32"/>
          <w:szCs w:val="32"/>
          <w:lang w:val="en-US" w:eastAsia="zh-CN" w:bidi="ar-SA"/>
        </w:rPr>
        <w:t>公共图书馆应当通过开展公益性讲座、阅读指导、读书交流、演讲诵读、图书互换共享等活动，推广全民阅读。</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sz w:val="32"/>
          <w:szCs w:val="32"/>
        </w:rPr>
        <w:t>全民阅读公</w:t>
      </w:r>
      <w:r>
        <w:rPr>
          <w:rFonts w:hint="eastAsia" w:ascii="仿宋_GB2312" w:hAnsi="仿宋_GB2312" w:eastAsia="仿宋_GB2312" w:cs="仿宋_GB2312"/>
          <w:kern w:val="2"/>
          <w:sz w:val="32"/>
          <w:szCs w:val="32"/>
          <w:lang w:val="en-US" w:eastAsia="zh-CN" w:bidi="ar-SA"/>
        </w:rPr>
        <w:t>共服务设施管理单位应当向社会公布其服务项目、开放时间等，并按照国家和自治区有关规定，向公众免费开放。鼓励全民阅读公共服务设施在法定节假日、公休日期间适当延长开放时间，保障公众的阅读需求。</w:t>
      </w:r>
    </w:p>
    <w:p>
      <w:pPr>
        <w:keepNext w:val="0"/>
        <w:keepLines w:val="0"/>
        <w:pageBreakBefore w:val="0"/>
        <w:widowControl w:val="0"/>
        <w:numPr>
          <w:ilvl w:val="0"/>
          <w:numId w:val="0"/>
        </w:numPr>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第十二条 </w:t>
      </w:r>
      <w:r>
        <w:rPr>
          <w:rFonts w:hint="eastAsia" w:ascii="仿宋_GB2312" w:hAnsi="仿宋_GB2312" w:eastAsia="仿宋_GB2312" w:cs="仿宋_GB2312"/>
          <w:sz w:val="32"/>
          <w:szCs w:val="32"/>
        </w:rPr>
        <w:t>鼓励和支持有条件的学校、科研机构等单位在法定节假日、公休日或者寒暑假期间向公众开放内部图书馆、图书室等，</w:t>
      </w:r>
      <w:r>
        <w:rPr>
          <w:rFonts w:hint="eastAsia" w:ascii="仿宋_GB2312" w:hAnsi="仿宋_GB2312" w:eastAsia="仿宋_GB2312" w:cs="仿宋_GB2312"/>
          <w:sz w:val="32"/>
          <w:szCs w:val="32"/>
          <w:lang w:eastAsia="zh-CN"/>
        </w:rPr>
        <w:t>提供</w:t>
      </w:r>
      <w:r>
        <w:rPr>
          <w:rFonts w:hint="eastAsia" w:ascii="仿宋_GB2312" w:hAnsi="仿宋_GB2312" w:eastAsia="仿宋_GB2312" w:cs="仿宋_GB2312"/>
          <w:sz w:val="32"/>
          <w:szCs w:val="32"/>
        </w:rPr>
        <w:t>全民阅读公益服务。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十三</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县级以上人民政府及其有关</w:t>
      </w:r>
      <w:r>
        <w:rPr>
          <w:rFonts w:hint="eastAsia" w:ascii="仿宋_GB2312" w:hAnsi="仿宋_GB2312" w:eastAsia="仿宋_GB2312" w:cs="仿宋_GB2312"/>
          <w:kern w:val="2"/>
          <w:sz w:val="32"/>
          <w:szCs w:val="32"/>
          <w:lang w:val="en-US" w:eastAsia="zh-CN" w:bidi="ar-SA"/>
        </w:rPr>
        <w:t>部门应当加强对实体书店的扶持。鼓励实体书店创新经营模式，提升</w:t>
      </w:r>
      <w:r>
        <w:rPr>
          <w:rFonts w:hint="eastAsia" w:ascii="仿宋_GB2312" w:hAnsi="仿宋_GB2312" w:eastAsia="仿宋_GB2312" w:cs="仿宋_GB2312"/>
          <w:sz w:val="32"/>
          <w:szCs w:val="32"/>
        </w:rPr>
        <w:t>服务</w:t>
      </w:r>
      <w:r>
        <w:rPr>
          <w:rFonts w:ascii="仿宋_GB2312" w:hAnsi="仿宋_GB2312" w:eastAsia="仿宋_GB2312" w:cs="仿宋_GB2312"/>
          <w:sz w:val="32"/>
          <w:szCs w:val="32"/>
        </w:rPr>
        <w:t>水平</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sz w:val="32"/>
          <w:szCs w:val="32"/>
        </w:rPr>
        <w:t>鼓励有</w:t>
      </w:r>
      <w:r>
        <w:rPr>
          <w:rFonts w:hint="eastAsia" w:ascii="仿宋_GB2312" w:hAnsi="仿宋_GB2312" w:eastAsia="仿宋_GB2312" w:cs="仿宋_GB2312"/>
          <w:kern w:val="2"/>
          <w:sz w:val="32"/>
          <w:szCs w:val="32"/>
          <w:lang w:val="en-US" w:eastAsia="zh-CN" w:bidi="ar-SA"/>
        </w:rPr>
        <w:t>条件的实体书店设置阅读专区、延长营业时间、开展流动售书和公益性阅读活动，满足读者多样化阅读需求。</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w:t>
      </w:r>
      <w:r>
        <w:rPr>
          <w:rFonts w:hint="eastAsia" w:ascii="黑体" w:hAnsi="黑体" w:eastAsia="黑体" w:cs="黑体"/>
          <w:sz w:val="32"/>
          <w:szCs w:val="32"/>
          <w:lang w:eastAsia="zh-CN"/>
        </w:rPr>
        <w:t>十四</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kern w:val="2"/>
          <w:sz w:val="32"/>
          <w:szCs w:val="32"/>
          <w:lang w:val="en-US" w:eastAsia="zh-CN" w:bidi="ar-SA"/>
        </w:rPr>
        <w:t>高等院校应当加强校园实体书店的建设规划，并在场地、租金等方面给予支持。</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校园实体书店应当设置阅读专区，提供免费阅读服务。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w:t>
      </w:r>
      <w:r>
        <w:rPr>
          <w:rFonts w:hint="eastAsia" w:ascii="黑体" w:hAnsi="黑体" w:eastAsia="黑体" w:cs="黑体"/>
          <w:sz w:val="32"/>
          <w:szCs w:val="32"/>
          <w:lang w:eastAsia="zh-CN"/>
        </w:rPr>
        <w:t>十五</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kern w:val="2"/>
          <w:sz w:val="32"/>
          <w:szCs w:val="32"/>
          <w:lang w:val="en-US" w:eastAsia="zh-CN" w:bidi="ar-SA"/>
        </w:rPr>
        <w:t>鼓励和支持车站、机场、宾馆、商场、银行、医院、公园、景区、体育场馆等场所，设立书架、报刊栏、电子阅读屏、移动图书馆等自助阅读设施或者提供数字阅读服务，方便公众就近阅读。</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w:t>
      </w:r>
      <w:r>
        <w:rPr>
          <w:rFonts w:hint="eastAsia" w:ascii="黑体" w:hAnsi="黑体" w:eastAsia="黑体" w:cs="黑体"/>
          <w:sz w:val="32"/>
          <w:szCs w:val="32"/>
          <w:lang w:val="en-US" w:eastAsia="zh-CN"/>
        </w:rPr>
        <w:t>十六</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2"/>
          <w:sz w:val="32"/>
          <w:szCs w:val="32"/>
          <w:lang w:val="en-US" w:eastAsia="zh-CN" w:bidi="ar-SA"/>
        </w:rPr>
        <w:t>县级以上人民政府应当加强对基层全民阅读公共服务设施和服务的投入，促进全民阅读均衡协调发展。</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rPr>
      </w:pPr>
      <w:r>
        <w:rPr>
          <w:rFonts w:hint="eastAsia" w:ascii="仿宋_GB2312" w:hAnsi="仿宋_GB2312" w:eastAsia="仿宋_GB2312" w:cs="仿宋_GB2312"/>
          <w:sz w:val="32"/>
          <w:szCs w:val="32"/>
        </w:rPr>
        <w:t>县级以上人民政府及其有关部门应当依托乡镇综合文化站、农家书屋、邮政局（所）、便民超市、电商服务站点等设立出版物代销点或者网络代购点。</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十七</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kern w:val="2"/>
          <w:sz w:val="32"/>
          <w:szCs w:val="32"/>
          <w:lang w:val="en-US" w:eastAsia="zh-CN" w:bidi="ar-SA"/>
        </w:rPr>
        <w:t>县级以上人民政府应当统筹建立全民阅读推广人队伍信息库，为阅读推广人提供相关知识和技能培训，</w:t>
      </w:r>
      <w:r>
        <w:rPr>
          <w:rFonts w:hint="eastAsia" w:ascii="仿宋_GB2312" w:hAnsi="仿宋_GB2312" w:eastAsia="仿宋_GB2312" w:cs="仿宋_GB2312"/>
          <w:sz w:val="32"/>
          <w:szCs w:val="32"/>
        </w:rPr>
        <w:t>提升阅读推广人队伍的整体素质和服务能力。</w:t>
      </w:r>
    </w:p>
    <w:p>
      <w:pPr>
        <w:pStyle w:val="3"/>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鼓励教育机构、文化团体、新闻媒体、出版发行单位和其他社会组</w:t>
      </w:r>
      <w:r>
        <w:rPr>
          <w:rFonts w:hint="eastAsia" w:ascii="仿宋_GB2312" w:hAnsi="仿宋_GB2312" w:eastAsia="仿宋_GB2312" w:cs="仿宋_GB2312"/>
          <w:kern w:val="2"/>
          <w:sz w:val="32"/>
          <w:szCs w:val="32"/>
          <w:lang w:val="en-US" w:eastAsia="zh-CN" w:bidi="ar-SA"/>
        </w:rPr>
        <w:t>织发展阅读推广人队伍。鼓励教师、新闻出版工作者、科研人员、图书馆工作人员、在校大学生等加</w:t>
      </w:r>
      <w:r>
        <w:rPr>
          <w:rFonts w:hint="eastAsia" w:ascii="仿宋_GB2312" w:hAnsi="仿宋_GB2312" w:eastAsia="仿宋_GB2312" w:cs="仿宋_GB2312"/>
          <w:sz w:val="32"/>
          <w:szCs w:val="32"/>
        </w:rPr>
        <w:t>入阅读推广人队伍</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十八</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kern w:val="2"/>
          <w:sz w:val="32"/>
          <w:szCs w:val="32"/>
          <w:lang w:val="en-US" w:eastAsia="zh-CN" w:bidi="ar-SA"/>
        </w:rPr>
        <w:t>鼓励和支持设立全民阅读促进协会，培育全民阅读推广机构，发展阅读推广人队伍，开展专业阅读辅导</w:t>
      </w:r>
      <w:r>
        <w:rPr>
          <w:rFonts w:hint="eastAsia" w:ascii="仿宋_GB2312" w:hAnsi="仿宋_GB2312" w:eastAsia="仿宋_GB2312" w:cs="仿宋_GB2312"/>
          <w:sz w:val="32"/>
          <w:szCs w:val="32"/>
        </w:rPr>
        <w:t>。</w:t>
      </w:r>
    </w:p>
    <w:p>
      <w:pPr>
        <w:pStyle w:val="2"/>
        <w:keepNext w:val="0"/>
        <w:keepLines w:val="0"/>
        <w:pageBreakBefore w:val="0"/>
        <w:widowControl w:val="0"/>
        <w:tabs>
          <w:tab w:val="clear" w:pos="4153"/>
          <w:tab w:val="clear" w:pos="8306"/>
        </w:tabs>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十九</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鼓励</w:t>
      </w:r>
      <w:r>
        <w:rPr>
          <w:rFonts w:hint="eastAsia" w:ascii="仿宋_GB2312" w:hAnsi="仿宋_GB2312" w:eastAsia="仿宋_GB2312" w:cs="仿宋_GB2312"/>
          <w:sz w:val="32"/>
          <w:szCs w:val="32"/>
          <w:lang w:val="en-US" w:eastAsia="zh-CN"/>
        </w:rPr>
        <w:t>和支持国家</w:t>
      </w:r>
      <w:r>
        <w:rPr>
          <w:rFonts w:hint="eastAsia" w:ascii="仿宋_GB2312" w:hAnsi="仿宋_GB2312" w:eastAsia="仿宋_GB2312" w:cs="仿宋_GB2312"/>
          <w:sz w:val="32"/>
          <w:szCs w:val="32"/>
          <w:lang w:eastAsia="zh-CN"/>
        </w:rPr>
        <w:t>机关、</w:t>
      </w:r>
      <w:r>
        <w:rPr>
          <w:rFonts w:hint="eastAsia" w:ascii="仿宋_GB2312" w:hAnsi="仿宋_GB2312" w:eastAsia="仿宋_GB2312" w:cs="仿宋_GB2312"/>
          <w:sz w:val="32"/>
          <w:szCs w:val="32"/>
          <w:lang w:val="en-US" w:eastAsia="zh-CN"/>
        </w:rPr>
        <w:t>社会</w:t>
      </w:r>
      <w:r>
        <w:rPr>
          <w:rFonts w:hint="eastAsia" w:ascii="仿宋_GB2312" w:hAnsi="仿宋_GB2312" w:eastAsia="仿宋_GB2312" w:cs="仿宋_GB2312"/>
          <w:sz w:val="32"/>
          <w:szCs w:val="32"/>
          <w:lang w:eastAsia="zh-CN"/>
        </w:rPr>
        <w:t>团体、企业事业</w:t>
      </w:r>
      <w:r>
        <w:rPr>
          <w:rFonts w:hint="eastAsia" w:ascii="仿宋_GB2312" w:hAnsi="仿宋_GB2312" w:eastAsia="仿宋_GB2312" w:cs="仿宋_GB2312"/>
          <w:sz w:val="32"/>
          <w:szCs w:val="32"/>
          <w:lang w:val="en-US" w:eastAsia="zh-CN"/>
        </w:rPr>
        <w:t>单位和其他组织，根据自身特点和条件</w:t>
      </w:r>
      <w:r>
        <w:rPr>
          <w:rFonts w:hint="eastAsia" w:ascii="仿宋_GB2312" w:hAnsi="仿宋_GB2312" w:eastAsia="仿宋_GB2312" w:cs="仿宋_GB2312"/>
          <w:sz w:val="32"/>
          <w:szCs w:val="32"/>
          <w:lang w:eastAsia="zh-CN"/>
        </w:rPr>
        <w:t>创</w:t>
      </w:r>
      <w:r>
        <w:rPr>
          <w:rFonts w:hint="eastAsia" w:ascii="仿宋_GB2312" w:hAnsi="仿宋_GB2312" w:eastAsia="仿宋_GB2312" w:cs="仿宋_GB2312"/>
          <w:sz w:val="32"/>
          <w:szCs w:val="32"/>
          <w:lang w:val="en-US" w:eastAsia="zh-CN"/>
        </w:rPr>
        <w:t>办各种</w:t>
      </w:r>
      <w:r>
        <w:rPr>
          <w:rFonts w:hint="eastAsia" w:ascii="仿宋_GB2312" w:hAnsi="仿宋_GB2312" w:eastAsia="仿宋_GB2312" w:cs="仿宋_GB2312"/>
          <w:sz w:val="32"/>
          <w:szCs w:val="32"/>
          <w:lang w:eastAsia="zh-CN"/>
        </w:rPr>
        <w:t>品牌</w:t>
      </w:r>
      <w:r>
        <w:rPr>
          <w:rFonts w:hint="eastAsia" w:ascii="仿宋_GB2312" w:hAnsi="仿宋_GB2312" w:eastAsia="仿宋_GB2312" w:cs="仿宋_GB2312"/>
          <w:sz w:val="32"/>
          <w:szCs w:val="32"/>
          <w:lang w:val="en-US" w:eastAsia="zh-CN"/>
        </w:rPr>
        <w:t>的阅读活动</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自治区开展“书香宁夏”全民阅读活动。每年</w:t>
      </w:r>
      <w:r>
        <w:rPr>
          <w:rFonts w:hint="eastAsia" w:ascii="仿宋_GB2312" w:hAnsi="仿宋_GB2312" w:eastAsia="仿宋_GB2312" w:cs="仿宋_GB2312"/>
          <w:kern w:val="2"/>
          <w:sz w:val="32"/>
          <w:szCs w:val="32"/>
          <w:lang w:val="en-US" w:eastAsia="zh-CN" w:bidi="ar-SA"/>
        </w:rPr>
        <w:t>定期举办</w:t>
      </w:r>
      <w:r>
        <w:rPr>
          <w:rFonts w:hint="eastAsia" w:ascii="仿宋_GB2312" w:hAnsi="仿宋_GB2312" w:eastAsia="仿宋_GB2312" w:cs="仿宋_GB2312"/>
          <w:sz w:val="32"/>
          <w:szCs w:val="32"/>
        </w:rPr>
        <w:t>“塞上书香节”，每年</w:t>
      </w:r>
      <w:r>
        <w:rPr>
          <w:rFonts w:hint="eastAsia" w:ascii="仿宋_GB2312" w:hAnsi="仿宋_GB2312" w:eastAsia="仿宋_GB2312" w:cs="仿宋_GB2312"/>
          <w:sz w:val="32"/>
          <w:szCs w:val="32"/>
          <w:lang w:val="en-US" w:eastAsia="zh-CN"/>
        </w:rPr>
        <w:t>4</w:t>
      </w:r>
      <w:r>
        <w:rPr>
          <w:rFonts w:hint="eastAsia" w:ascii="仿宋_GB2312" w:hAnsi="仿宋_GB2312" w:eastAsia="仿宋_GB2312" w:cs="仿宋_GB2312"/>
          <w:sz w:val="32"/>
          <w:szCs w:val="32"/>
        </w:rPr>
        <w:t>月23日所在的周为“宁夏读书周”。</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第三章  重点群体阅读</w:t>
      </w:r>
      <w:r>
        <w:rPr>
          <w:rFonts w:hint="eastAsia" w:ascii="黑体" w:hAnsi="黑体" w:eastAsia="黑体" w:cs="黑体"/>
          <w:sz w:val="32"/>
          <w:szCs w:val="32"/>
          <w:lang w:eastAsia="zh-CN"/>
        </w:rPr>
        <w:t>服务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w:t>
      </w:r>
      <w:r>
        <w:rPr>
          <w:rFonts w:hint="eastAsia" w:ascii="黑体" w:hAnsi="黑体" w:eastAsia="黑体" w:cs="黑体"/>
          <w:sz w:val="32"/>
          <w:szCs w:val="32"/>
          <w:lang w:eastAsia="zh-CN"/>
        </w:rPr>
        <w:t>二十一</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县级以上人民政府及其有关部门应当制定未成年人阅读促进计划，建立家庭、学校与社会相结合的全民</w:t>
      </w:r>
      <w:r>
        <w:rPr>
          <w:rFonts w:hint="eastAsia" w:ascii="仿宋_GB2312" w:hAnsi="仿宋_GB2312" w:eastAsia="仿宋_GB2312" w:cs="仿宋_GB2312"/>
          <w:kern w:val="2"/>
          <w:sz w:val="32"/>
          <w:szCs w:val="32"/>
          <w:lang w:val="en-US" w:eastAsia="zh-CN" w:bidi="ar-SA"/>
        </w:rPr>
        <w:t>阅读工作促进机制。</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鼓励开展家庭阅读，未成年人的父母或者其他监护人应当做好阅读示范和指导，培养未成年人的阅读意识和阅读习惯。学校、共青团、妇联等有关部门指导家庭阅读。</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第二十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kern w:val="2"/>
          <w:sz w:val="32"/>
          <w:szCs w:val="32"/>
          <w:lang w:val="en-US" w:eastAsia="zh-CN" w:bidi="ar-SA"/>
        </w:rPr>
        <w:t>教育行政部门应当指导学校和其他教育机构开展全民阅读活动，培养学生阅读习惯，提升学生阅读能力。</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高等院校、中等职业学校、中小学校、幼儿园应当设置阅读场所和设施，配备阅读指导教师，开设阅读课程，组织阅读教学，开展校园阅读活动。</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二十三</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图书馆、文化馆、博物馆、美术馆、科技馆、青少年宫等场所，应当根据未成年人特点，建立和完善专门面向未成年人的阅读服务设施，营造良好阅读环境，开展未成年人阅读指导服务。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二十四</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县级以上人民政府及其有关部门应当将留守儿童、外来务工随迁子女、特困和低收入家庭儿童、福利院儿童的阅读需求纳</w:t>
      </w:r>
      <w:r>
        <w:rPr>
          <w:rFonts w:hint="eastAsia" w:ascii="仿宋_GB2312" w:hAnsi="仿宋_GB2312" w:eastAsia="仿宋_GB2312" w:cs="仿宋_GB2312"/>
          <w:kern w:val="2"/>
          <w:sz w:val="32"/>
          <w:szCs w:val="32"/>
          <w:lang w:val="en-US" w:eastAsia="zh-CN" w:bidi="ar-SA"/>
        </w:rPr>
        <w:t>入未成年人阅读促进计划，为其</w:t>
      </w:r>
      <w:r>
        <w:rPr>
          <w:rFonts w:hint="eastAsia" w:ascii="仿宋_GB2312" w:hAnsi="仿宋_GB2312" w:eastAsia="仿宋_GB2312" w:cs="仿宋_GB2312"/>
          <w:sz w:val="32"/>
          <w:szCs w:val="32"/>
        </w:rPr>
        <w:t>提供必要的阅读指导和专项服务。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二十五</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县级以上人民政府及其有关部门应当为残疾人提供符合其特点和需求的阅读服务，</w:t>
      </w:r>
      <w:r>
        <w:rPr>
          <w:rFonts w:hint="eastAsia" w:ascii="仿宋_GB2312" w:hAnsi="仿宋_GB2312" w:eastAsia="仿宋_GB2312" w:cs="仿宋_GB2312"/>
          <w:sz w:val="32"/>
          <w:szCs w:val="32"/>
          <w:lang w:eastAsia="zh-CN"/>
        </w:rPr>
        <w:t>提供盲文出版物、有声读物、视频读物等阅读资源。</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ascii="仿宋_GB2312" w:hAnsi="仿宋_GB2312" w:eastAsia="仿宋_GB2312" w:cs="仿宋_GB2312"/>
          <w:sz w:val="32"/>
          <w:szCs w:val="32"/>
        </w:rPr>
      </w:pPr>
      <w:r>
        <w:rPr>
          <w:rFonts w:ascii="仿宋_GB2312" w:hAnsi="仿宋_GB2312" w:eastAsia="仿宋_GB2312" w:cs="仿宋_GB2312"/>
          <w:sz w:val="32"/>
          <w:szCs w:val="32"/>
        </w:rPr>
        <w:t>新建、改建和扩建</w:t>
      </w:r>
      <w:r>
        <w:rPr>
          <w:rFonts w:hint="eastAsia" w:ascii="仿宋_GB2312" w:hAnsi="仿宋_GB2312" w:eastAsia="仿宋_GB2312" w:cs="仿宋_GB2312"/>
          <w:sz w:val="32"/>
          <w:szCs w:val="32"/>
        </w:rPr>
        <w:t>全民阅读公共服务设施</w:t>
      </w:r>
      <w:r>
        <w:rPr>
          <w:rFonts w:ascii="仿宋_GB2312" w:hAnsi="仿宋_GB2312" w:eastAsia="仿宋_GB2312" w:cs="仿宋_GB2312"/>
          <w:sz w:val="32"/>
          <w:szCs w:val="32"/>
        </w:rPr>
        <w:t>，应当符合国家无障碍</w:t>
      </w:r>
      <w:r>
        <w:rPr>
          <w:rFonts w:hint="eastAsia" w:ascii="仿宋_GB2312" w:hAnsi="仿宋_GB2312" w:eastAsia="仿宋_GB2312" w:cs="仿宋_GB2312"/>
          <w:sz w:val="32"/>
          <w:szCs w:val="32"/>
          <w:lang w:eastAsia="zh-CN"/>
        </w:rPr>
        <w:t>环境</w:t>
      </w:r>
      <w:r>
        <w:rPr>
          <w:rFonts w:ascii="仿宋_GB2312" w:hAnsi="仿宋_GB2312" w:eastAsia="仿宋_GB2312" w:cs="仿宋_GB2312"/>
          <w:sz w:val="32"/>
          <w:szCs w:val="32"/>
        </w:rPr>
        <w:fldChar w:fldCharType="begin"/>
      </w:r>
      <w:r>
        <w:rPr>
          <w:rFonts w:ascii="仿宋_GB2312" w:hAnsi="仿宋_GB2312" w:eastAsia="仿宋_GB2312" w:cs="仿宋_GB2312"/>
          <w:sz w:val="32"/>
          <w:szCs w:val="32"/>
        </w:rPr>
        <w:instrText xml:space="preserve"> HYPERLINK "https://baike.sogou.com/lemma/ShowInnerLink.htm?lemmaId=7786294&amp;ss_c=ssc.citiao.link" \t "_blank" </w:instrText>
      </w:r>
      <w:r>
        <w:rPr>
          <w:rFonts w:ascii="仿宋_GB2312" w:hAnsi="仿宋_GB2312" w:eastAsia="仿宋_GB2312" w:cs="仿宋_GB2312"/>
          <w:sz w:val="32"/>
          <w:szCs w:val="32"/>
        </w:rPr>
        <w:fldChar w:fldCharType="separate"/>
      </w:r>
      <w:r>
        <w:rPr>
          <w:rFonts w:ascii="仿宋_GB2312" w:hAnsi="仿宋_GB2312" w:eastAsia="仿宋_GB2312" w:cs="仿宋_GB2312"/>
          <w:sz w:val="32"/>
          <w:szCs w:val="32"/>
        </w:rPr>
        <w:t>建设标准</w:t>
      </w:r>
      <w:r>
        <w:rPr>
          <w:rFonts w:ascii="仿宋_GB2312" w:hAnsi="仿宋_GB2312" w:eastAsia="仿宋_GB2312" w:cs="仿宋_GB2312"/>
          <w:sz w:val="32"/>
          <w:szCs w:val="32"/>
        </w:rPr>
        <w:fldChar w:fldCharType="end"/>
      </w:r>
      <w:r>
        <w:rPr>
          <w:rFonts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全民阅读保障</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二十六</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县级以上人民政府应当保障全民阅读促进工作经费，并根据经济社会发展情况逐步提高经费保障标准。</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w:t>
      </w:r>
      <w:r>
        <w:rPr>
          <w:rFonts w:hint="eastAsia" w:ascii="黑体" w:hAnsi="黑体" w:eastAsia="黑体" w:cs="黑体"/>
          <w:sz w:val="32"/>
          <w:szCs w:val="32"/>
          <w:lang w:eastAsia="zh-CN"/>
        </w:rPr>
        <w:t>二十七</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kern w:val="2"/>
          <w:sz w:val="32"/>
          <w:szCs w:val="32"/>
          <w:lang w:val="en-US" w:eastAsia="zh-CN" w:bidi="ar-SA"/>
        </w:rPr>
        <w:t>自治区新闻出版管理部门应当制定全民阅读指标评价体系，定期开展全民阅读调查，发布全民阅读报告，评估全民阅读发展水平。</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二十八</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县级以上人民政府及其有关</w:t>
      </w:r>
      <w:r>
        <w:rPr>
          <w:rFonts w:hint="eastAsia" w:ascii="仿宋_GB2312" w:hAnsi="仿宋_GB2312" w:eastAsia="仿宋_GB2312" w:cs="仿宋_GB2312"/>
          <w:kern w:val="2"/>
          <w:sz w:val="32"/>
          <w:szCs w:val="32"/>
          <w:lang w:val="en-US" w:eastAsia="zh-CN" w:bidi="ar-SA"/>
        </w:rPr>
        <w:t>部门应当按照国</w:t>
      </w:r>
      <w:r>
        <w:rPr>
          <w:rFonts w:hint="eastAsia" w:ascii="仿宋_GB2312" w:hAnsi="仿宋_GB2312" w:eastAsia="仿宋_GB2312" w:cs="仿宋_GB2312"/>
          <w:sz w:val="32"/>
          <w:szCs w:val="32"/>
        </w:rPr>
        <w:t>家和自治区有关规定，通过政府购买服务、财政补贴等方式，鼓励和支持社会力量开展全民阅读公益活动。</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sz w:val="32"/>
          <w:szCs w:val="32"/>
        </w:rPr>
        <w:t>鼓励自然人、</w:t>
      </w:r>
      <w:r>
        <w:rPr>
          <w:rFonts w:hint="eastAsia" w:ascii="仿宋_GB2312" w:hAnsi="仿宋_GB2312" w:eastAsia="仿宋_GB2312" w:cs="仿宋_GB2312"/>
          <w:kern w:val="2"/>
          <w:sz w:val="32"/>
          <w:szCs w:val="32"/>
          <w:lang w:val="en-US" w:eastAsia="zh-CN" w:bidi="ar-SA"/>
        </w:rPr>
        <w:t>法人和其他组织依法设立全民阅读公益基金，用于扶持</w:t>
      </w:r>
      <w:r>
        <w:rPr>
          <w:rFonts w:hint="eastAsia" w:ascii="仿宋_GB2312" w:hAnsi="仿宋_GB2312" w:eastAsia="仿宋_GB2312" w:cs="仿宋_GB2312"/>
          <w:sz w:val="32"/>
          <w:szCs w:val="32"/>
        </w:rPr>
        <w:t>全民阅读公益活动</w:t>
      </w:r>
      <w:r>
        <w:rPr>
          <w:rFonts w:hint="eastAsia" w:ascii="仿宋_GB2312" w:hAnsi="仿宋_GB2312" w:eastAsia="仿宋_GB2312" w:cs="仿宋_GB2312"/>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rPr>
      </w:pPr>
      <w:r>
        <w:rPr>
          <w:rFonts w:hint="eastAsia" w:ascii="仿宋_GB2312" w:hAnsi="仿宋_GB2312" w:eastAsia="仿宋_GB2312" w:cs="仿宋_GB2312"/>
          <w:sz w:val="32"/>
          <w:szCs w:val="32"/>
        </w:rPr>
        <w:t>鼓励社会力量捐赠、资助全民阅读活动，为开展全民阅读活动提供场地、设施</w:t>
      </w:r>
      <w:r>
        <w:rPr>
          <w:rFonts w:hint="eastAsia" w:ascii="仿宋_GB2312" w:hAnsi="仿宋_GB2312" w:eastAsia="仿宋_GB2312" w:cs="仿宋_GB2312"/>
          <w:kern w:val="2"/>
          <w:sz w:val="32"/>
          <w:szCs w:val="32"/>
          <w:lang w:val="en-US" w:eastAsia="zh-CN" w:bidi="ar-SA"/>
        </w:rPr>
        <w:t>，组织参与全民阅读志愿服务。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w:t>
      </w:r>
      <w:r>
        <w:rPr>
          <w:rFonts w:hint="eastAsia" w:ascii="黑体" w:hAnsi="黑体" w:eastAsia="黑体" w:cs="黑体"/>
          <w:sz w:val="32"/>
          <w:szCs w:val="32"/>
          <w:lang w:eastAsia="zh-CN"/>
        </w:rPr>
        <w:t>二十九</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任何单位和个人不得侵占、损坏或者擅自拆除全民阅读公共服务设施，不得擅自改变全民阅读公共服务设施的功能和用途。</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ascii="仿宋_GB2312" w:hAnsi="仿宋_GB2312" w:eastAsia="仿宋_GB2312" w:cs="仿宋_GB2312"/>
          <w:sz w:val="32"/>
          <w:szCs w:val="32"/>
        </w:rPr>
        <w:t>因城乡建设确需拆除</w:t>
      </w:r>
      <w:r>
        <w:rPr>
          <w:rFonts w:hint="eastAsia" w:ascii="仿宋_GB2312" w:hAnsi="仿宋_GB2312" w:eastAsia="仿宋_GB2312" w:cs="仿宋_GB2312"/>
          <w:sz w:val="32"/>
          <w:szCs w:val="32"/>
        </w:rPr>
        <w:t>全民阅读公共服务设施</w:t>
      </w:r>
      <w:r>
        <w:rPr>
          <w:rFonts w:ascii="仿宋_GB2312" w:hAnsi="仿宋_GB2312" w:eastAsia="仿宋_GB2312" w:cs="仿宋_GB2312"/>
          <w:sz w:val="32"/>
          <w:szCs w:val="32"/>
        </w:rPr>
        <w:t>或者改变其功能、用途的，应当</w:t>
      </w:r>
      <w:r>
        <w:rPr>
          <w:rFonts w:hint="eastAsia" w:ascii="仿宋_GB2312" w:hAnsi="仿宋_GB2312" w:eastAsia="仿宋_GB2312" w:cs="仿宋_GB2312"/>
          <w:sz w:val="32"/>
          <w:szCs w:val="32"/>
        </w:rPr>
        <w:t>不低于原有</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规模和标准</w:t>
      </w:r>
      <w:r>
        <w:rPr>
          <w:rFonts w:hint="eastAsia" w:ascii="仿宋_GB2312" w:hAnsi="仿宋_GB2312" w:eastAsia="仿宋_GB2312" w:cs="仿宋_GB2312"/>
          <w:sz w:val="32"/>
          <w:szCs w:val="32"/>
          <w:lang w:eastAsia="zh-CN"/>
        </w:rPr>
        <w:t>重建、改建。</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w:t>
      </w:r>
      <w:r>
        <w:rPr>
          <w:rFonts w:hint="eastAsia" w:ascii="黑体" w:hAnsi="黑体" w:eastAsia="黑体" w:cs="黑体"/>
          <w:sz w:val="32"/>
          <w:szCs w:val="32"/>
          <w:lang w:eastAsia="zh-CN"/>
        </w:rPr>
        <w:t>三十</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w:t>
      </w:r>
      <w:r>
        <w:rPr>
          <w:rFonts w:hint="eastAsia" w:ascii="仿宋_GB2312" w:hAnsi="仿宋_GB2312" w:eastAsia="仿宋_GB2312" w:cs="仿宋_GB2312"/>
          <w:kern w:val="2"/>
          <w:sz w:val="32"/>
          <w:szCs w:val="32"/>
          <w:lang w:val="en-US" w:eastAsia="zh-CN" w:bidi="ar-SA"/>
        </w:rPr>
        <w:t>之一的，由有关机关责令限期改正，对直接负责的主管人员和其他直</w:t>
      </w:r>
      <w:r>
        <w:rPr>
          <w:rFonts w:hint="eastAsia" w:ascii="仿宋_GB2312" w:hAnsi="仿宋_GB2312" w:eastAsia="仿宋_GB2312" w:cs="仿宋_GB2312"/>
          <w:sz w:val="32"/>
          <w:szCs w:val="32"/>
        </w:rPr>
        <w:t>接责任人员依法给予处</w:t>
      </w:r>
      <w:r>
        <w:rPr>
          <w:rFonts w:hint="eastAsia" w:ascii="仿宋_GB2312" w:hAnsi="仿宋_GB2312" w:eastAsia="仿宋_GB2312" w:cs="仿宋_GB2312"/>
          <w:kern w:val="2"/>
          <w:sz w:val="32"/>
          <w:szCs w:val="32"/>
          <w:lang w:val="en-US" w:eastAsia="zh-CN" w:bidi="ar-SA"/>
        </w:rPr>
        <w:t>分；构成犯罪的，依法追究刑事责任：</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（一）侵占、挪用全民阅读工作资金的；</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（二）擅自拆除、侵占、挪用全民阅读公共服务设施，或者改变其功能、用途，或者妨碍其正常运行的；</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w:t>
      </w:r>
      <w:r>
        <w:rPr>
          <w:rFonts w:hint="eastAsia" w:ascii="仿宋_GB2312" w:hAnsi="仿宋_GB2312" w:eastAsia="仿宋_GB2312" w:cs="仿宋_GB2312"/>
          <w:sz w:val="32"/>
          <w:szCs w:val="32"/>
          <w:lang w:eastAsia="zh-CN"/>
        </w:rPr>
        <w:t>按</w:t>
      </w:r>
      <w:r>
        <w:rPr>
          <w:rFonts w:hint="eastAsia" w:ascii="仿宋_GB2312" w:hAnsi="仿宋_GB2312" w:eastAsia="仿宋_GB2312" w:cs="仿宋_GB2312"/>
          <w:sz w:val="32"/>
          <w:szCs w:val="32"/>
        </w:rPr>
        <w:t>照规定重建</w:t>
      </w:r>
      <w:r>
        <w:rPr>
          <w:rFonts w:hint="eastAsia" w:ascii="仿宋_GB2312" w:hAnsi="仿宋_GB2312" w:eastAsia="仿宋_GB2312" w:cs="仿宋_GB2312"/>
          <w:sz w:val="32"/>
          <w:szCs w:val="32"/>
          <w:lang w:eastAsia="zh-CN"/>
        </w:rPr>
        <w:t>、改建</w:t>
      </w:r>
      <w:r>
        <w:rPr>
          <w:rFonts w:hint="eastAsia" w:ascii="仿宋_GB2312" w:hAnsi="仿宋_GB2312" w:eastAsia="仿宋_GB2312" w:cs="仿宋_GB2312"/>
          <w:sz w:val="32"/>
          <w:szCs w:val="32"/>
        </w:rPr>
        <w:t>全民阅读公共服务设施的；</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有其他</w:t>
      </w:r>
      <w:r>
        <w:rPr>
          <w:rFonts w:hint="eastAsia" w:ascii="仿宋_GB2312" w:hAnsi="仿宋_GB2312" w:eastAsia="仿宋_GB2312" w:cs="仿宋_GB2312"/>
          <w:sz w:val="32"/>
          <w:szCs w:val="32"/>
        </w:rPr>
        <w:t>滥用职权、玩忽职守、徇私舞弊</w:t>
      </w:r>
      <w:r>
        <w:rPr>
          <w:rFonts w:hint="eastAsia" w:ascii="仿宋_GB2312" w:hAnsi="仿宋_GB2312" w:eastAsia="仿宋_GB2312" w:cs="仿宋_GB2312"/>
          <w:sz w:val="32"/>
          <w:szCs w:val="32"/>
          <w:lang w:eastAsia="zh-CN"/>
        </w:rPr>
        <w:t>行为</w:t>
      </w:r>
      <w:r>
        <w:rPr>
          <w:rFonts w:hint="eastAsia" w:ascii="仿宋_GB2312" w:hAnsi="仿宋_GB2312" w:eastAsia="仿宋_GB2312" w:cs="仿宋_GB2312"/>
          <w:sz w:val="32"/>
          <w:szCs w:val="32"/>
        </w:rPr>
        <w:t>的。</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三十一</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kern w:val="2"/>
          <w:sz w:val="32"/>
          <w:szCs w:val="32"/>
          <w:lang w:val="en-US" w:eastAsia="zh-CN" w:bidi="ar-SA"/>
        </w:rPr>
        <w:t>全民阅读公共服务设施管理单位违反本条例，未按照规定对公众开放的，由其主管部门责令限期改正；造成严重后果的，对直接负责的主管人员和其他直接</w:t>
      </w:r>
      <w:r>
        <w:rPr>
          <w:rFonts w:hint="eastAsia" w:ascii="仿宋_GB2312" w:hAnsi="仿宋_GB2312" w:eastAsia="仿宋_GB2312" w:cs="仿宋_GB2312"/>
          <w:sz w:val="32"/>
          <w:szCs w:val="32"/>
          <w:lang w:eastAsia="zh-CN"/>
        </w:rPr>
        <w:t>责任人员，依法给予处分。</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违反本条例规定，损害全民阅读公共服务设施的，依法承担民事责任；构</w:t>
      </w:r>
      <w:r>
        <w:rPr>
          <w:rFonts w:hint="eastAsia" w:ascii="仿宋_GB2312" w:hAnsi="仿宋_GB2312" w:eastAsia="仿宋_GB2312" w:cs="仿宋_GB2312"/>
          <w:sz w:val="32"/>
          <w:szCs w:val="32"/>
          <w:lang w:val="en-US" w:eastAsia="zh-CN"/>
        </w:rPr>
        <w:t>成违反治安管理行为的，由公安</w:t>
      </w:r>
      <w:r>
        <w:rPr>
          <w:rFonts w:hint="eastAsia" w:ascii="仿宋_GB2312" w:hAnsi="仿宋_GB2312" w:eastAsia="仿宋_GB2312" w:cs="仿宋_GB2312"/>
          <w:kern w:val="2"/>
          <w:sz w:val="32"/>
          <w:szCs w:val="32"/>
          <w:lang w:val="en-US" w:eastAsia="zh-CN" w:bidi="ar-SA"/>
        </w:rPr>
        <w:t>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pPr>
      <w:r>
        <w:rPr>
          <w:rFonts w:hint="eastAsia" w:ascii="黑体" w:hAnsi="黑体" w:eastAsia="黑体" w:cs="黑体"/>
          <w:sz w:val="32"/>
          <w:szCs w:val="32"/>
        </w:rPr>
        <w:t>第</w:t>
      </w:r>
      <w:r>
        <w:rPr>
          <w:rFonts w:hint="eastAsia" w:ascii="黑体" w:hAnsi="黑体" w:eastAsia="黑体" w:cs="黑体"/>
          <w:sz w:val="32"/>
          <w:szCs w:val="32"/>
          <w:lang w:eastAsia="zh-CN"/>
        </w:rPr>
        <w:t>三十三</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2021</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p>
    <w:p>
      <w:pPr>
        <w:pStyle w:val="2"/>
        <w:rPr>
          <w:rFonts w:hint="eastAsia"/>
        </w:rPr>
      </w:pPr>
    </w:p>
    <w:p>
      <w:pPr>
        <w:rPr>
          <w:rFonts w:hint="eastAsia"/>
        </w:rPr>
      </w:pPr>
    </w:p>
    <w:p>
      <w:pPr>
        <w:pStyle w:val="2"/>
        <w:rPr>
          <w:rFonts w:hint="eastAsia"/>
        </w:rPr>
      </w:pPr>
    </w:p>
    <w:p>
      <w:pPr>
        <w:rPr>
          <w:rFonts w:hint="eastAsia"/>
        </w:rPr>
      </w:pPr>
    </w:p>
    <w:p>
      <w:pPr>
        <w:pStyle w:val="2"/>
        <w:rPr>
          <w:rFonts w:hint="eastAsia"/>
        </w:rPr>
      </w:pPr>
    </w:p>
    <w:p>
      <w:pPr>
        <w:rPr>
          <w:rFonts w:hint="eastAsia"/>
        </w:rPr>
      </w:pPr>
    </w:p>
    <w:p>
      <w:pPr>
        <w:pStyle w:val="2"/>
        <w:rPr>
          <w:rFonts w:hint="eastAsia"/>
        </w:rPr>
      </w:pPr>
    </w:p>
    <w:p>
      <w:pPr>
        <w:rPr>
          <w:rFonts w:hint="eastAsia"/>
        </w:rPr>
      </w:pPr>
    </w:p>
    <w:p>
      <w:pPr>
        <w:pStyle w:val="2"/>
        <w:rPr>
          <w:rFonts w:hint="eastAsia"/>
        </w:rPr>
      </w:pPr>
    </w:p>
    <w:p>
      <w:pPr>
        <w:rPr>
          <w:rFonts w:hint="eastAsia"/>
        </w:rPr>
      </w:pPr>
    </w:p>
    <w:p>
      <w:pPr>
        <w:pStyle w:val="2"/>
        <w:rPr>
          <w:rFonts w:hint="eastAsia"/>
        </w:rPr>
      </w:pPr>
    </w:p>
    <w:p>
      <w:pPr>
        <w:rPr>
          <w:rFonts w:hint="eastAsia"/>
        </w:rPr>
      </w:pPr>
    </w:p>
    <w:p>
      <w:pPr>
        <w:pStyle w:val="2"/>
        <w:rPr>
          <w:rFonts w:hint="eastAsia"/>
        </w:rPr>
      </w:pPr>
    </w:p>
    <w:p>
      <w:pPr>
        <w:rPr>
          <w:rFonts w:hint="eastAsia"/>
        </w:rPr>
      </w:pPr>
    </w:p>
    <w:p>
      <w:pPr>
        <w:pStyle w:val="2"/>
        <w:rPr>
          <w:rFonts w:hint="eastAsia"/>
        </w:rPr>
      </w:pPr>
    </w:p>
    <w:p>
      <w:pPr>
        <w:rPr>
          <w:rFonts w:hint="eastAsia"/>
        </w:rPr>
      </w:pPr>
    </w:p>
    <w:p>
      <w:pPr>
        <w:pStyle w:val="2"/>
        <w:rPr>
          <w:rFonts w:hint="eastAsia"/>
        </w:rPr>
      </w:pPr>
    </w:p>
    <w:p>
      <w:pPr>
        <w:rPr>
          <w:rFonts w:hint="eastAsia"/>
        </w:rPr>
      </w:pPr>
    </w:p>
    <w:p>
      <w:pPr>
        <w:pStyle w:val="2"/>
        <w:rPr>
          <w:rFonts w:hint="eastAsia"/>
        </w:rPr>
      </w:pPr>
    </w:p>
    <w:p>
      <w:pPr>
        <w:rPr>
          <w:rFonts w:hint="eastAsia"/>
        </w:rPr>
      </w:pPr>
    </w:p>
    <w:p>
      <w:pPr>
        <w:pStyle w:val="2"/>
        <w:rPr>
          <w:rFonts w:hint="eastAsia"/>
        </w:rPr>
      </w:pPr>
    </w:p>
    <w:p>
      <w:pPr>
        <w:rPr>
          <w:rFonts w:hint="eastAsia"/>
        </w:rPr>
      </w:pPr>
    </w:p>
    <w:p>
      <w:pPr>
        <w:pStyle w:val="2"/>
        <w:rPr>
          <w:rFonts w:hint="eastAsia"/>
        </w:rPr>
      </w:pPr>
    </w:p>
    <w:p>
      <w:pPr>
        <w:rPr>
          <w:rFonts w:hint="eastAsia"/>
        </w:rPr>
      </w:pPr>
    </w:p>
    <w:p>
      <w:pPr>
        <w:pStyle w:val="2"/>
        <w:rPr>
          <w:rFonts w:hint="eastAsia"/>
        </w:rPr>
      </w:pPr>
    </w:p>
    <w:p>
      <w:pPr>
        <w:rPr>
          <w:rFonts w:hint="eastAsia"/>
        </w:rPr>
      </w:pPr>
    </w:p>
    <w:p>
      <w:pPr>
        <w:pStyle w:val="2"/>
        <w:rPr>
          <w:rFonts w:hint="eastAsia"/>
        </w:rPr>
      </w:pPr>
    </w:p>
    <w:p>
      <w:pPr>
        <w:rPr>
          <w:rFonts w:hint="eastAsia"/>
        </w:rPr>
      </w:pPr>
    </w:p>
    <w:p>
      <w:pPr>
        <w:pStyle w:val="2"/>
        <w:rPr>
          <w:rFonts w:hint="eastAsia"/>
        </w:rPr>
      </w:pPr>
    </w:p>
    <w:p>
      <w:pPr>
        <w:rPr>
          <w:rFonts w:hint="eastAsia"/>
        </w:rPr>
      </w:pPr>
    </w:p>
    <w:p>
      <w:pPr>
        <w:pStyle w:val="2"/>
        <w:rPr>
          <w:rFonts w:hint="eastAsia"/>
        </w:rPr>
      </w:pPr>
    </w:p>
    <w:p>
      <w:pPr>
        <w:rPr>
          <w:rFonts w:hint="eastAsia"/>
        </w:rPr>
      </w:pPr>
    </w:p>
    <w:p>
      <w:pPr>
        <w:pStyle w:val="2"/>
        <w:rPr>
          <w:rFonts w:hint="eastAsia"/>
        </w:rPr>
      </w:pPr>
    </w:p>
    <w:p>
      <w:pPr>
        <w:rPr>
          <w:rFonts w:hint="eastAsia"/>
        </w:rPr>
      </w:pPr>
    </w:p>
    <w:p>
      <w:pPr>
        <w:pStyle w:val="2"/>
        <w:rPr>
          <w:rFonts w:hint="eastAsia"/>
        </w:rPr>
      </w:pPr>
    </w:p>
    <w:p>
      <w:pPr>
        <w:pStyle w:val="2"/>
        <w:rPr>
          <w:rFonts w:hint="eastAsia"/>
        </w:rPr>
      </w:pPr>
    </w:p>
    <w:p>
      <w:pPr>
        <w:rPr>
          <w:rFonts w:hint="eastAsia"/>
        </w:rPr>
      </w:pPr>
    </w:p>
    <w:p>
      <w:pPr>
        <w:pStyle w:val="2"/>
        <w:rPr>
          <w:rFonts w:hint="eastAsia"/>
        </w:rPr>
      </w:pPr>
    </w:p>
    <w:p>
      <w:pPr>
        <w:rPr>
          <w:rFonts w:hint="eastAsia"/>
        </w:rPr>
      </w:pPr>
    </w:p>
    <w:p>
      <w:pPr>
        <w:pStyle w:val="2"/>
        <w:rPr>
          <w:rFonts w:hint="eastAsia"/>
        </w:rPr>
      </w:pPr>
    </w:p>
    <w:p>
      <w:pPr>
        <w:rPr>
          <w:rFonts w:hint="eastAsia"/>
        </w:rPr>
      </w:pPr>
      <w:bookmarkStart w:id="0" w:name="_GoBack"/>
      <w:bookmarkEnd w:id="0"/>
    </w:p>
    <w:sectPr>
      <w:headerReference r:id="rId3" w:type="default"/>
      <w:footerReference r:id="rId4" w:type="default"/>
      <w:pgSz w:w="11906" w:h="16838"/>
      <w:pgMar w:top="1984" w:right="1587" w:bottom="1474" w:left="1587" w:header="850" w:footer="1134"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Garamond">
    <w:altName w:val="PMingLiU"/>
    <w:panose1 w:val="02020404030301010803"/>
    <w:charset w:val="00"/>
    <w:family w:val="decorative"/>
    <w:pitch w:val="default"/>
    <w:sig w:usb0="00000000" w:usb1="00000000" w:usb2="00000000" w:usb3="00000000" w:csb0="0000009F" w:csb1="DFD7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swiss"/>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仿宋_GB2312">
    <w:panose1 w:val="02010609030101010101"/>
    <w:charset w:val="86"/>
    <w:family w:val="swiss"/>
    <w:pitch w:val="default"/>
    <w:sig w:usb0="00000001" w:usb1="080E0000" w:usb2="00000000" w:usb3="00000000" w:csb0="00040000" w:csb1="00000000"/>
  </w:font>
  <w:font w:name="Calibri">
    <w:panose1 w:val="020F0502020204030204"/>
    <w:charset w:val="00"/>
    <w:family w:val="modern"/>
    <w:pitch w:val="default"/>
    <w:sig w:usb0="E00002FF" w:usb1="4000ACFF" w:usb2="00000001" w:usb3="00000000" w:csb0="2000019F" w:csb1="00000000"/>
  </w:font>
  <w:font w:name="仿宋_GB2312">
    <w:panose1 w:val="02010609030101010101"/>
    <w:charset w:val="86"/>
    <w:family w:val="roma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decorative"/>
    <w:pitch w:val="default"/>
    <w:sig w:usb0="00000001" w:usb1="080E0000" w:usb2="00000000" w:usb3="00000000" w:csb0="00040000" w:csb1="00000000"/>
  </w:font>
  <w:font w:name="Garamond">
    <w:altName w:val="PMingLiU-ExtB"/>
    <w:panose1 w:val="02020404030301010803"/>
    <w:charset w:val="00"/>
    <w:family w:val="swiss"/>
    <w:pitch w:val="default"/>
    <w:sig w:usb0="00000000" w:usb1="00000000" w:usb2="00000000" w:usb3="00000000" w:csb0="0000009F" w:csb1="DFD70000"/>
  </w:font>
  <w:font w:name="PMingLiU">
    <w:panose1 w:val="02020500000000000000"/>
    <w:charset w:val="88"/>
    <w:family w:val="auto"/>
    <w:pitch w:val="default"/>
    <w:sig w:usb0="A00002FF" w:usb1="28CFFCFA" w:usb2="00000016" w:usb3="00000000" w:csb0="00100001" w:csb1="00000000"/>
  </w:font>
  <w:font w:name="PMingLiU">
    <w:panose1 w:val="02020500000000000000"/>
    <w:charset w:val="88"/>
    <w:family w:val="decorative"/>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PMingLiU">
    <w:panose1 w:val="02020500000000000000"/>
    <w:charset w:val="88"/>
    <w:family w:val="decorative"/>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3459143">
    <w:nsid w:val="5BFF5147"/>
    <w:multiLevelType w:val="singleLevel"/>
    <w:tmpl w:val="5BFF5147"/>
    <w:lvl w:ilvl="0" w:tentative="1">
      <w:start w:val="5"/>
      <w:numFmt w:val="chineseCounting"/>
      <w:suff w:val="space"/>
      <w:lvlText w:val="第%1章"/>
      <w:lvlJc w:val="left"/>
    </w:lvl>
  </w:abstractNum>
  <w:num w:numId="1">
    <w:abstractNumId w:val="15434591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0"/>
  <w:drawingGridVerticalSpacing w:val="156"/>
  <w:displayHorizontalDrawingGridEvery w:val="0"/>
  <w:displayVerticalDrawingGridEvery w:val="2"/>
  <w:doNotShadeFormData w:val="1"/>
  <w:characterSpacingControl w:val="compressPunctuation"/>
  <w:doNotValidateAgainstSchema/>
  <w:doNotDemarcateInvalidXml/>
  <w:hdrShapeDefaults>
    <o:shapelayout v:ext="edit">
      <o:idmap v:ext="edit" data="3,4"/>
    </o:shapelayout>
  </w:hdrShapeDefaults>
  <w:compat>
    <w:spaceForUL/>
    <w:balanceSingleByteDoubleByteWidth/>
    <w:doNotLeaveBackslashAlone/>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71E136C"/>
    <w:rsid w:val="0D2C6C8B"/>
    <w:rsid w:val="13F942AF"/>
    <w:rsid w:val="1AB47697"/>
    <w:rsid w:val="1C856880"/>
    <w:rsid w:val="291932AE"/>
    <w:rsid w:val="2B42686C"/>
    <w:rsid w:val="2CB60AF8"/>
    <w:rsid w:val="2D1F1A63"/>
    <w:rsid w:val="2DD861EC"/>
    <w:rsid w:val="2F797514"/>
    <w:rsid w:val="302E4B31"/>
    <w:rsid w:val="30AA2746"/>
    <w:rsid w:val="311653C7"/>
    <w:rsid w:val="31E935CA"/>
    <w:rsid w:val="3AA44176"/>
    <w:rsid w:val="3AFF3F7B"/>
    <w:rsid w:val="3F135F6A"/>
    <w:rsid w:val="55604F8C"/>
    <w:rsid w:val="582D33B7"/>
    <w:rsid w:val="5C5E159B"/>
    <w:rsid w:val="5DDC50C4"/>
    <w:rsid w:val="63276FA6"/>
    <w:rsid w:val="66121695"/>
    <w:rsid w:val="67A7087C"/>
    <w:rsid w:val="69982012"/>
    <w:rsid w:val="6A767FA7"/>
    <w:rsid w:val="6AE53EE3"/>
    <w:rsid w:val="6BF94AD4"/>
    <w:rsid w:val="6C1E112E"/>
    <w:rsid w:val="6E5570A4"/>
    <w:rsid w:val="700E7109"/>
    <w:rsid w:val="72A25C12"/>
    <w:rsid w:val="75393D15"/>
    <w:rsid w:val="7C551CA3"/>
    <w:rsid w:val="7FA2474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Calibri" w:hAnsi="Calibri" w:eastAsia="宋体" w:cs="黑体"/>
      <w:kern w:val="2"/>
      <w:sz w:val="21"/>
      <w:szCs w:val="24"/>
      <w:lang w:val="en-US" w:eastAsia="zh-CN"/>
    </w:rPr>
  </w:style>
  <w:style w:type="character" w:default="1" w:styleId="6">
    <w:name w:val="Default Paragraph Font"/>
    <w:uiPriority w:val="0"/>
  </w:style>
  <w:style w:type="table" w:default="1" w:styleId="7">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next w:val="1"/>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Normal Indent"/>
    <w:basedOn w:val="1"/>
    <w:uiPriority w:val="0"/>
    <w:pPr>
      <w:ind w:firstLine="420" w:firstLineChars="200"/>
    </w:pPr>
    <w:rPr>
      <w:rFonts w:ascii="Times New Roman" w:hAnsi="Times New Roman" w:eastAsia="宋体" w:cs="Times New Roman"/>
    </w:rPr>
  </w:style>
  <w:style w:type="paragraph" w:styleId="4">
    <w:name w:val="Body Text"/>
    <w:basedOn w:val="1"/>
    <w:uiPriority w:val="0"/>
    <w:rPr>
      <w:rFonts w:ascii="Garamond" w:hAnsi="Garamond" w:cs="Garamond"/>
      <w:sz w:val="32"/>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2017-07-24T09:41:00Z</dcterms:created>
  <dc:creator>Administrator</dc:creator>
  <cp:lastModifiedBy>Administrator</cp:lastModifiedBy>
  <cp:lastPrinted>2020-11-25T12:27:00Z</cp:lastPrinted>
  <dcterms:modified xsi:type="dcterms:W3CDTF">2020-11-25T12:49:09Z</dcterms:modified>
  <dc:title>Administrator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