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rPr>
        <w:t>宁夏回族自治区大气污染防治条例</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6" w:leftChars="303" w:right="529" w:rightChars="252" w:firstLine="0" w:firstLineChars="0"/>
        <w:jc w:val="both"/>
        <w:textAlignment w:val="auto"/>
        <w:outlineLvl w:val="9"/>
        <w:rPr>
          <w:rFonts w:hint="eastAsia" w:ascii="楷体" w:hAnsi="楷体" w:eastAsia="楷体" w:cs="楷体"/>
          <w:color w:val="000000"/>
          <w:spacing w:val="0"/>
          <w:sz w:val="32"/>
          <w:szCs w:val="32"/>
        </w:rPr>
      </w:pPr>
      <w:r>
        <w:rPr>
          <w:rFonts w:ascii="楷体" w:hAnsi="微软雅黑" w:eastAsia="楷体"/>
          <w:color w:val="000000"/>
          <w:spacing w:val="0"/>
          <w:sz w:val="32"/>
          <w:szCs w:val="32"/>
        </w:rPr>
        <w:t>（2017年9月28日宁夏回族自治区第十一届人民代表大会常务委员会第三十三次会议通过</w:t>
      </w:r>
      <w:r>
        <w:rPr>
          <w:rFonts w:hint="eastAsia" w:ascii="楷体" w:hAnsi="微软雅黑" w:eastAsia="楷体"/>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sz w:val="32"/>
          <w:szCs w:val="32"/>
        </w:rPr>
        <w:t>）</w:t>
      </w:r>
    </w:p>
    <w:p>
      <w:pPr>
        <w:widowControl w:val="0"/>
        <w:wordWrap/>
        <w:adjustRightInd/>
        <w:snapToGrid/>
        <w:spacing w:line="580" w:lineRule="exact"/>
        <w:ind w:left="0" w:leftChars="0" w:right="0" w:firstLine="0" w:firstLineChars="0"/>
        <w:jc w:val="both"/>
        <w:textAlignment w:val="auto"/>
        <w:outlineLvl w:val="9"/>
        <w:rPr>
          <w:rFonts w:hint="eastAsia" w:ascii="楷体" w:eastAsia="楷体"/>
          <w:color w:val="000000"/>
          <w:spacing w:val="0"/>
          <w:sz w:val="28"/>
          <w:szCs w:val="28"/>
        </w:rPr>
      </w:pPr>
    </w:p>
    <w:p>
      <w:pPr>
        <w:widowControl w:val="0"/>
        <w:wordWrap/>
        <w:adjustRightInd/>
        <w:snapToGrid/>
        <w:spacing w:line="580" w:lineRule="exact"/>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widowControl w:val="0"/>
        <w:numPr>
          <w:ilvl w:val="0"/>
          <w:numId w:val="0"/>
        </w:numPr>
        <w:tabs>
          <w:tab w:val="left" w:pos="0"/>
        </w:tabs>
        <w:wordWrap/>
        <w:adjustRightInd/>
        <w:snapToGrid/>
        <w:spacing w:line="580" w:lineRule="exact"/>
        <w:ind w:left="0" w:leftChars="0" w:firstLine="599" w:firstLineChars="199"/>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燃煤和工业污染防治</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机动车污染防治</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　</w:t>
      </w:r>
      <w:r>
        <w:rPr>
          <w:rFonts w:hint="eastAsia" w:ascii="楷体_GB2312" w:hAnsi="楷体_GB2312" w:eastAsia="楷体_GB2312" w:cs="楷体_GB2312"/>
          <w:color w:val="000000"/>
          <w:spacing w:val="0"/>
          <w:w w:val="102"/>
          <w:sz w:val="32"/>
          <w:szCs w:val="32"/>
          <w:lang w:eastAsia="zh-CN"/>
        </w:rPr>
        <w:t>扬尘污染防治</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rPr>
        <w:t>第五章　</w:t>
      </w:r>
      <w:r>
        <w:rPr>
          <w:rFonts w:hint="eastAsia" w:ascii="楷体_GB2312" w:hAnsi="楷体_GB2312" w:eastAsia="楷体_GB2312" w:cs="楷体_GB2312"/>
          <w:color w:val="000000"/>
          <w:spacing w:val="0"/>
          <w:w w:val="102"/>
          <w:sz w:val="32"/>
          <w:szCs w:val="32"/>
          <w:lang w:eastAsia="zh-CN"/>
        </w:rPr>
        <w:t>农业和其他污染防治</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第六章</w:t>
      </w:r>
      <w:r>
        <w:rPr>
          <w:rFonts w:hint="eastAsia" w:ascii="楷体_GB2312" w:hAnsi="楷体_GB2312" w:eastAsia="楷体_GB2312" w:cs="楷体_GB2312"/>
          <w:color w:val="000000"/>
          <w:spacing w:val="0"/>
          <w:w w:val="102"/>
          <w:sz w:val="32"/>
          <w:szCs w:val="32"/>
          <w:lang w:val="en-US" w:eastAsia="zh-CN"/>
        </w:rPr>
        <w:t xml:space="preserve">  监督管理</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七</w:t>
      </w:r>
      <w:r>
        <w:rPr>
          <w:rFonts w:hint="eastAsia" w:ascii="楷体_GB2312" w:hAnsi="楷体_GB2312" w:eastAsia="楷体_GB2312" w:cs="楷体_GB2312"/>
          <w:color w:val="000000"/>
          <w:spacing w:val="0"/>
          <w:w w:val="102"/>
          <w:sz w:val="32"/>
          <w:szCs w:val="32"/>
        </w:rPr>
        <w:t>章　</w:t>
      </w:r>
      <w:r>
        <w:rPr>
          <w:rFonts w:hint="eastAsia" w:ascii="楷体_GB2312" w:hAnsi="楷体_GB2312" w:eastAsia="楷体_GB2312" w:cs="楷体_GB2312"/>
          <w:color w:val="000000"/>
          <w:spacing w:val="0"/>
          <w:w w:val="102"/>
          <w:sz w:val="32"/>
          <w:szCs w:val="32"/>
          <w:lang w:eastAsia="zh-CN"/>
        </w:rPr>
        <w:t>法律责任</w:t>
      </w:r>
    </w:p>
    <w:p>
      <w:pPr>
        <w:widowControl w:val="0"/>
        <w:numPr>
          <w:ilvl w:val="0"/>
          <w:numId w:val="0"/>
        </w:numPr>
        <w:wordWrap/>
        <w:adjustRightInd/>
        <w:snapToGrid/>
        <w:spacing w:line="580" w:lineRule="exact"/>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八</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第一章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总则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第一条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为了保护和改善环境，防治大气污染，保障公众健康，推进生态文明建设，促进经济社会可持续发展，根据《中华人民共和国大气污染防治法》等法律、行政法规，结合自治区实际，制定本条例。</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本条例适用于自治区行政区域内大气污染的防治及其监督管理。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防治大气污染，应当以改善大气环境质量为目标，坚持源头治理，规划先行，转变经济发展方式，优化产业结构和布局，调整能源结构。</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各级人民政府应当对本行政区域的大气环境质量负责，采取措施，控制或者逐步削减大气污染物的排放量，改善大气环境质量。</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县级以上人民政府应当将大气污染防治工作纳入国民经济和社会发展规划，加大对大气污染防治的财政投入。</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自治区人民政府对设区的市和县（市、区）大气环境质量改善目标、大气污染防治重点任务完成情况实行考核。考核结果应当向社会公开。</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环境主管部门对大气污染防治实施统一监督管理。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发展改革、</w:t>
      </w:r>
      <w:r>
        <w:rPr>
          <w:rFonts w:hint="eastAsia" w:ascii="仿宋_GB2312" w:hAnsi="仿宋_GB2312" w:eastAsia="仿宋_GB2312" w:cs="仿宋_GB2312"/>
          <w:color w:val="000000"/>
          <w:spacing w:val="0"/>
          <w:sz w:val="32"/>
          <w:szCs w:val="32"/>
          <w:lang w:eastAsia="zh-CN"/>
        </w:rPr>
        <w:t>工业和</w:t>
      </w:r>
      <w:r>
        <w:rPr>
          <w:rFonts w:hint="eastAsia" w:ascii="仿宋_GB2312" w:hAnsi="仿宋_GB2312" w:eastAsia="仿宋_GB2312" w:cs="仿宋_GB2312"/>
          <w:color w:val="000000"/>
          <w:spacing w:val="0"/>
          <w:sz w:val="32"/>
          <w:szCs w:val="32"/>
        </w:rPr>
        <w:t>信息化、住房城乡建设、交通运输、公安、农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w:t>
      </w:r>
      <w:r>
        <w:rPr>
          <w:rFonts w:hint="eastAsia" w:ascii="仿宋_GB2312" w:hAnsi="仿宋_GB2312" w:eastAsia="仿宋_GB2312" w:cs="仿宋_GB2312"/>
          <w:color w:val="000000"/>
          <w:spacing w:val="0"/>
          <w:sz w:val="32"/>
          <w:szCs w:val="32"/>
          <w:lang w:eastAsia="zh-CN"/>
        </w:rPr>
        <w:t>市场监督</w:t>
      </w:r>
      <w:r>
        <w:rPr>
          <w:rFonts w:hint="eastAsia" w:ascii="仿宋_GB2312" w:hAnsi="仿宋_GB2312" w:eastAsia="仿宋_GB2312" w:cs="仿宋_GB2312"/>
          <w:color w:val="000000"/>
          <w:spacing w:val="0"/>
          <w:sz w:val="32"/>
          <w:szCs w:val="32"/>
        </w:rPr>
        <w:t>管理</w:t>
      </w:r>
      <w:r>
        <w:rPr>
          <w:rFonts w:hint="eastAsia" w:ascii="仿宋_GB2312" w:hAnsi="仿宋_GB2312" w:eastAsia="仿宋_GB2312" w:cs="仿宋_GB2312"/>
          <w:color w:val="000000"/>
          <w:spacing w:val="0"/>
          <w:sz w:val="32"/>
          <w:szCs w:val="32"/>
          <w:lang w:eastAsia="zh-CN"/>
        </w:rPr>
        <w:t>、气象</w:t>
      </w:r>
      <w:r>
        <w:rPr>
          <w:rFonts w:hint="eastAsia" w:ascii="仿宋_GB2312" w:hAnsi="仿宋_GB2312" w:eastAsia="仿宋_GB2312" w:cs="仿宋_GB2312"/>
          <w:color w:val="000000"/>
          <w:spacing w:val="0"/>
          <w:sz w:val="32"/>
          <w:szCs w:val="32"/>
        </w:rPr>
        <w:t>等相关主管部门，在各自职责范围内对大气污染防治实施监督管理。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企业事业单位和其他生产经营者应当采取有效措施，控制和减少大气污染物排放；排放污染物的，应当承担污染物治理的主体责任。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第二章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燃煤和工业污染防治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both"/>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自治区实行煤炭消费总量控制，逐步降低煤炭在一次能源消费中的比重。</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设区的市人民政府应当根据自治区人民政府制定的煤炭消费总量控制方案和实施步骤，制定本级煤炭消费总量控制计划并组织实施。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自治区大气污染防治重点区域内新建、改建、扩建用煤项目的，应当实行煤炭等量或者减量替代。</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未达到大气环境质量标准的地区，新增排放大气污染物项目大气污染物排放总量实行倍减置换；已达到大气环境质量标准的地区，应当严格控制新增排放大气污染物项目大气污染物排放量。</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对可能造成大气环境影响的重大建设项目，人民政府或者有关部门应当通过论证会、听证会等方式，事先听取社会公众的意见。论证、听证结果应当作为审批环境影响评价文件的重要依据。</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w:t>
      </w:r>
      <w:r>
        <w:rPr>
          <w:rFonts w:hint="eastAsia" w:ascii="仿宋_GB2312" w:hAnsi="仿宋_GB2312" w:eastAsia="仿宋_GB2312" w:cs="仿宋_GB2312"/>
          <w:color w:val="000000"/>
          <w:spacing w:val="0"/>
          <w:sz w:val="32"/>
          <w:szCs w:val="32"/>
          <w:lang w:eastAsia="zh-CN"/>
        </w:rPr>
        <w:t>市场</w:t>
      </w:r>
      <w:r>
        <w:rPr>
          <w:rFonts w:hint="eastAsia" w:ascii="仿宋_GB2312" w:hAnsi="仿宋_GB2312" w:eastAsia="仿宋_GB2312" w:cs="仿宋_GB2312"/>
          <w:color w:val="000000"/>
          <w:spacing w:val="0"/>
          <w:sz w:val="32"/>
          <w:szCs w:val="32"/>
        </w:rPr>
        <w:t>监督</w:t>
      </w:r>
      <w:r>
        <w:rPr>
          <w:rFonts w:hint="eastAsia" w:ascii="仿宋_GB2312" w:hAnsi="仿宋_GB2312" w:eastAsia="仿宋_GB2312" w:cs="仿宋_GB2312"/>
          <w:color w:val="000000"/>
          <w:spacing w:val="0"/>
          <w:sz w:val="32"/>
          <w:szCs w:val="32"/>
          <w:lang w:eastAsia="zh-CN"/>
        </w:rPr>
        <w:t>管理</w:t>
      </w:r>
      <w:r>
        <w:rPr>
          <w:rFonts w:hint="eastAsia" w:ascii="仿宋_GB2312" w:hAnsi="仿宋_GB2312" w:eastAsia="仿宋_GB2312" w:cs="仿宋_GB2312"/>
          <w:color w:val="000000"/>
          <w:spacing w:val="0"/>
          <w:sz w:val="32"/>
          <w:szCs w:val="32"/>
        </w:rPr>
        <w:t>和</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环境主管部门应当根据国家有关规定制定民用散煤质量地方强制标准。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各级人民政府应当加强民用散煤管理，加大城中村、城乡结合部等重点区域内民用散煤使用管理力度。禁止销售不符合民用散煤质量地方强制标准的煤炭。</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在集中供热管网覆盖的区域，人民政府应当制定计划，进行集中供热，逐步淘汰分散燃煤供热锅炉。</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在集中供热管网未覆盖的区域，应当推广使用高效节能环保型锅炉或者进行锅炉高效除尘、脱硫、脱硝改造，或者使用新能源、清洁能源供热。</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县级以上人民政府应当根据本行政区域大气环境承载力、重点大气污染物排放总量控制指标的要求，以及排污单位排放大气污染物的种类、数量和浓度等因素，合理规划工业园区布局，确定重点产业和能源结构。</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县级以上人民政府应当化解过剩产能，减少大气污染。</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环境主管部门应当适时公布大气污染物排放不达标企业名单，实行挂牌督办，限期整改。</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钢铁、建材、石油、化工等企业及燃煤电厂和其他燃煤单位应当采用清洁生产工艺，配套建设除尘、脱硫、脱硝等装置，或者采取技术改造等其他控制大气污染物排放的措施，排放污染物应当达到国家或者地方规定的排放标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环境主管部门应当会同</w:t>
      </w:r>
      <w:r>
        <w:rPr>
          <w:rFonts w:hint="eastAsia" w:ascii="仿宋_GB2312" w:hAnsi="仿宋_GB2312" w:eastAsia="仿宋_GB2312" w:cs="仿宋_GB2312"/>
          <w:color w:val="000000"/>
          <w:spacing w:val="0"/>
          <w:sz w:val="32"/>
          <w:szCs w:val="32"/>
          <w:lang w:eastAsia="zh-CN"/>
        </w:rPr>
        <w:t>市场监督管理</w:t>
      </w:r>
      <w:r>
        <w:rPr>
          <w:rFonts w:hint="eastAsia" w:ascii="仿宋_GB2312" w:hAnsi="仿宋_GB2312" w:eastAsia="仿宋_GB2312" w:cs="仿宋_GB2312"/>
          <w:color w:val="000000"/>
          <w:spacing w:val="0"/>
          <w:sz w:val="32"/>
          <w:szCs w:val="32"/>
        </w:rPr>
        <w:t>部门，根据大气环境质量状况制定严于国家标准的恶臭污染物排放地方标准。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生产、进口、销售、使用含挥发性有机物的原材料和产品的，其挥发性有机物含量应当符合质量标准或者要求。</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下列产生含挥发性有机物废气的活动，应当使用低挥发性有机物含量的原料和工艺，按照规定在密闭空间或者设备中进行并安装、使用污染防治设施；无法密闭的，应当采取措施减少废气排放：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Style w:val="8"/>
          <w:rFonts w:hint="eastAsia" w:ascii="黑体" w:hAnsi="黑体" w:eastAsia="黑体" w:cs="黑体"/>
          <w:b w:val="0"/>
          <w:bCs w:val="0"/>
          <w:color w:val="000000"/>
          <w:spacing w:val="0"/>
          <w:sz w:val="32"/>
          <w:szCs w:val="32"/>
        </w:rPr>
      </w:pPr>
      <w:r>
        <w:rPr>
          <w:rFonts w:hint="eastAsia" w:ascii="仿宋_GB2312" w:hAnsi="仿宋_GB2312" w:eastAsia="仿宋_GB2312" w:cs="仿宋_GB2312"/>
          <w:color w:val="000000"/>
          <w:spacing w:val="0"/>
          <w:sz w:val="32"/>
          <w:szCs w:val="32"/>
        </w:rPr>
        <w:t>　　（一）石油化工、煤化工等含挥发性有机物原料的生产；</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　　</w:t>
      </w:r>
      <w:r>
        <w:rPr>
          <w:rFonts w:hint="eastAsia" w:ascii="仿宋_GB2312" w:hAnsi="仿宋_GB2312" w:eastAsia="仿宋_GB2312" w:cs="仿宋_GB2312"/>
          <w:color w:val="000000"/>
          <w:spacing w:val="0"/>
          <w:sz w:val="32"/>
          <w:szCs w:val="32"/>
        </w:rPr>
        <w:t>（二）燃油、溶剂的储存、运输和销售；</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（三）涂料、油墨、胶粘剂、农药等以挥发性有机物为原料的生产；</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（四）涂装、印刷、粘合、工业清洗等含挥发性有机物的产品使用；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7"/>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（五）生物发酵等其他产生挥发性有机物的生产和服务活动。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7"/>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第三章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机动车污染防治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环境主管部门应当建立统一的机动车排放管理信息化平台，会同公安机关交通管理部门建立信息数据互联机制，依照有关规定实现信息数据共享。</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在用机动车应当符合国家机动车污染物排放标准，未经检验合格的，公安机关交通管理部门不得核发安全技术检验合格标志。</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在用机动车排放污染物超过标准的，应当进行维修；经维修或者采用污染控制技术后，污染物排放仍不符合国家机动车排放标准的，应当强制报废。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鼓励和支持高排放机动车提前报废。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环境主管部门应当会同交通运输、住房城乡建设、农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、水行政等有关部门，加强对工程机械、农业机械、小型通用机械等非道路移动机械污染物排放的监督检查，排放不合格的，不得使用。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县级以上人民政府根据大气环境质量状况，可以划定限制或者禁止高排放非道路移动机械通行的时间段和区域。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县级以上人民政府应当优化城市功能和布局，优先发展公共交通，推广新能源机动车和共享交通工具，加强城市步行和自行车交通系统建设，鼓励、支持、引导公众环保、低碳出行。</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禁止生产和销售不符合环境保护标准的燃油和添加剂。</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设区的市和县级人民政府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环境主管部门应当对加油站油气回收装置安装和使用进行监督管理。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具备条件的加油站应当安装油气回收在线监测设备。</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第四章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扬尘污染防治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从事房屋建筑、市政基础设施建设、水利工程、道路建设、建（构）筑物拆除等施工单位，应当向负责监督管理扬尘污染防治的主管部门备案。</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前款规定的施工单位应当遵守下列规定：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（一）开工前，在施工现场周边设置硬质密闭围挡并进行维护；尚未开工的建设用地，对裸露地面进行覆盖；施工期超过三个月的，应当采取绿化、铺装或者遮盖等防尘措施；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（二）在施工现场出入口公示施工现场负责人、环保监督员、扬尘污染防治措施、举报电话、扬尘监督管理主管部门等信息；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（三）在施工现场出口处设置车辆冲洗设施并配套设置排水、泥浆沉淀设施，施工车辆不得带泥上路行驶，施工现场道路以及出口周边的道路不得存留建筑垃圾和泥土；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（四）施工现场出入口、施工区内道路、加工区等区域采取硬化、洒水、铺装防尘网等处理措施；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（五）在施工工地内堆放水泥、灰土、砂石等易产生扬尘污染的物料，以及工地堆存的建筑垃圾、工程渣土、建筑土方应当采取遮盖、密闭或者其他抑尘措施；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（六）出现重污染天气状况或者五级以上大风时，施工单位应当停止土石方作业、拆除工程以及其他可能产生扬尘污染的施工建设活动。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在城市建成区的土石方施工场地，</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环境主管部门根据大气污染防治的需要，安装在线监测和视频监控设施。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垃圾转运站、中转站、填埋场和建筑垃圾消纳场应当采取围挡、覆盖、喷淋、道路硬化或者其他抑尘措施，设置车辆清洗设施。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运输煤炭、垃圾、渣土、砂石、土方、灰浆等散装、流体物料的车辆，应当采用密闭、遮盖等方式，按照规定的路线、时间段行驶，不得遗撒、泄漏物料。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易产生扬尘污染的煤矿、非煤矿山等露天工业堆场的生产经营者应当设置规范的防风抑尘网、洒水喷淋等抑尘设施，并对进出矿（场）区道路采取措施防治扬尘污染。</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城市建成区内的煤炭、石灰石料、灰渣等堆场的生产经营者应当采取遮盖、封闭等扬尘污染防治措施。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市容环境卫生主管部门应当推行机械化清扫保洁和清洗作业方式，合理安排作业时间，适时增加作业频次，减少道路扬尘。</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县级以上人民政府市容环境卫生、水利、</w:t>
      </w:r>
      <w:r>
        <w:rPr>
          <w:rFonts w:hint="eastAsia" w:ascii="仿宋_GB2312" w:hAnsi="仿宋_GB2312" w:eastAsia="仿宋_GB2312" w:cs="仿宋_GB2312"/>
          <w:color w:val="000000"/>
          <w:spacing w:val="0"/>
          <w:sz w:val="32"/>
          <w:szCs w:val="32"/>
          <w:lang w:eastAsia="zh-CN"/>
        </w:rPr>
        <w:t>自然</w:t>
      </w:r>
      <w:r>
        <w:rPr>
          <w:rFonts w:hint="eastAsia" w:ascii="仿宋_GB2312" w:hAnsi="仿宋_GB2312" w:eastAsia="仿宋_GB2312" w:cs="仿宋_GB2312"/>
          <w:color w:val="000000"/>
          <w:spacing w:val="0"/>
          <w:sz w:val="32"/>
          <w:szCs w:val="32"/>
        </w:rPr>
        <w:t>资源等主管部门应当按照规划对城市公共用地、市政河道以及河道沿线、未利用国有土地裸露地面组织实施绿化或者透水铺装。</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环境和农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主管部门应当公布细颗粒土壤分布区域。</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各级人民政府应当在农业生产中推广保护性耕作技术，减轻农田扬尘对大气环境的影响。</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第二十八条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各级人民政府应当采取退耕还林还草、封沙育林育草、建设防护林、保护湿地、小流域综合治理，以及合理调配生态用水等措施，开展荒漠化治理，恢复和增加植被，减轻沙尘对大气环境的影响。</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6"/>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第五章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农业和其他污染防治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县级以上人民政府应当开展农村厕所无害化改造。</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县级人民政府应当划定禁止建设畜禽规模养殖区域，加强分区分类管理，推进废弃物资源化利用，防止畜禽养殖对大气的污染。</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县级以上人民政府及其</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w:t>
      </w:r>
      <w:r>
        <w:rPr>
          <w:rFonts w:hint="eastAsia" w:ascii="仿宋_GB2312" w:hAnsi="仿宋_GB2312" w:eastAsia="仿宋_GB2312" w:cs="仿宋_GB2312"/>
          <w:color w:val="000000"/>
          <w:spacing w:val="0"/>
          <w:sz w:val="32"/>
          <w:szCs w:val="32"/>
          <w:lang w:val="en-US" w:eastAsia="zh-CN"/>
        </w:rPr>
        <w:t>、</w:t>
      </w:r>
      <w:r>
        <w:rPr>
          <w:rFonts w:hint="eastAsia" w:ascii="仿宋_GB2312" w:hAnsi="仿宋_GB2312" w:eastAsia="仿宋_GB2312" w:cs="仿宋_GB2312"/>
          <w:color w:val="000000"/>
          <w:spacing w:val="0"/>
          <w:sz w:val="32"/>
          <w:szCs w:val="32"/>
        </w:rPr>
        <w:t>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主管部门应当加强对农业面源污染的监督管理，支持秸秆利用新技术、新工艺，推进农业生产废弃物资源的综合利用。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鼓励、支持对产生有毒有害、恶臭或者强烈异味气体物质的综合利用和处置，并公布处置场所。禁止在城乡规划区、人口集中地区和其他依法需要特殊保护的区域内，焚烧油毡、橡胶、塑料、皮革、沥青、垃圾等物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禁止在县级以上人民政府划定的区域内，露天焚烧秸秆、落叶、枯草等产生烟尘污染的物质。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市容环境卫生主管部门应当加强城市规划区内焚烧产生有毒有害烟尘和恶臭或者强烈异味气体的物质日常监管。</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市容环境卫生和</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环境主管部门应当引导公民减少燃放烟花爆竹，保护大气环境。</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在县级人民政府划定禁止露天烧烤的区域内，不得露天烧烤食品或者为露天烧烤食品提供场地。</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环境、市容环境卫生等主管部门应当加强对公共机构食堂、餐饮服务单位油烟污染监督管理，防止餐饮服务业油烟污染。推进建筑装饰、机动车维修、服装干洗等行业中使用挥发性有机物的治理。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第三十五条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企业事业单位和其他生产经营者应当执行国家有关消耗臭氧层物质的生产、销售、使用和进出口管理规定，建立回收利用和安全处置制度，不得违反规定泄漏、排放、抛洒、遗弃消耗臭氧层物质。</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6"/>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第六章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监督管理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向大气排放工业废气或者有毒有害大气污染物的企业事业单位、集中供热设施的燃煤热源生产运营单位，以及其他依法实行排污许可管理的单位，应当依法取得排污许可证，并按照许可证的规定排放污染物。</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自治区实行设区的市和县级人民政府所在地建成区大气环境质量排名发布制度。</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对考核未完成国家和自治区大气环境质量改善目标、超过大气污染物排放总量控制指标，或者区域大气环境质量严重下降的地区，自治区人民政府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环境主管部门会同有关部门约谈该地区人民政府主要负责人，并暂停审批该地区新增重点大气污染物排放总量的建设项目环境影响评价文件。约谈情况应当向社会公开。</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环境主管部门应当加强大气污染防治信息化建设，完善环境监测、污染源监控、监督管理信息系统，并及时公开下列事项：</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（一）大气环境质量信息；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（二）重点大气污染物排放控制和削减情况；</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（三）污染源监督性监测情况；</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（四）监督检查商品煤、车用成品油、高污染燃料禁燃区内高污染燃料的生产、加工、销售和使用等情况；</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（五）与大气环境保护相关的行政许可和行政处罚等信息；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（六）突发大气污染环境事件以及应对情况；</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（七）其他依法应当公开的环境信息。</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环境主管部门应当建立大气污染物排放企业环保信用评价体系，将评价结果纳入社会诚信体系，并向社会公开。</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环境主管部门应当划定大气污染防治重点区域，报自治区人民政府批准后予以公布。</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设区的市人民政府应当定期召开联席会议，开展大气污染联合防治，落实大气污染防治目标责任。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环境主管部门应当会同气象等部门建立重污染天气预警和会商机制，统一重污染天气预警分级标准，提高大气环境质量预报和监测水平。</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县级以上人民政府应当制定重污染天气应急预案，根据重污染天气预警等级，依法启动应急预案，实施相应的响应措施。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重点排污单位应当根据重污染天气应急预案的要求，编制应急响应操作方案，并按照规定执行相应的应急响应措施。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自然人、法人和其他组织应当配合人民政府及其有关部门采取的重污染天气应急响应措施。</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在大气污染防治重点区域或者重污染天气集中出现的季节，县级以上人民政府可以组织错峰生产。</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在错峰生产期间，除承担居民供暖、处置城市垃圾和危险废物等保障民生的生产外，其他排污单位和企业应当按照县级以上人民政府错峰生产的安排，对生产经营活动进行调整，减少或者暂停排放大气污染物的生产、作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县级以上人民政府每年在向本级人民代表大会或者人大常务委员会报告环境状况和环境保护目标完成情况时，应当报告大气环境质量限期达标规划执行情况，并向社会公开，接受监督。</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第七章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法律责任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违反本条例规定，销售不符合民用散煤质量地方强制标准煤炭的，生产或者销售不符合环境保护标准燃油、添加剂的，由</w:t>
      </w:r>
      <w:r>
        <w:rPr>
          <w:rFonts w:hint="eastAsia" w:ascii="仿宋_GB2312" w:hAnsi="仿宋_GB2312" w:eastAsia="仿宋_GB2312" w:cs="仿宋_GB2312"/>
          <w:color w:val="000000"/>
          <w:spacing w:val="0"/>
          <w:sz w:val="32"/>
          <w:szCs w:val="32"/>
          <w:lang w:eastAsia="zh-CN"/>
        </w:rPr>
        <w:t>市场监督</w:t>
      </w:r>
      <w:r>
        <w:rPr>
          <w:rFonts w:hint="eastAsia" w:ascii="仿宋_GB2312" w:hAnsi="仿宋_GB2312" w:eastAsia="仿宋_GB2312" w:cs="仿宋_GB2312"/>
          <w:color w:val="000000"/>
          <w:spacing w:val="0"/>
          <w:sz w:val="32"/>
          <w:szCs w:val="32"/>
        </w:rPr>
        <w:t>管理部门责令改正，没收原材料、产品和违法所得，并处货值金额一倍以上三倍以下的罚款。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产生含挥发性有机物废气的活动，未在密闭空间或者设备中进行并安装、使用污染防治设施，或者未采取措施减少废气排放的，由</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环境主管部门责令改正，处二万元以上二十万元以下的罚款；拒不改正的，责令停产整治。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违反本条例规定，施工单位未采取措施防治扬尘污染的，由其行业主管部门按照职责责令改正，处一万元以上十万元以下的罚款；拒不改正的，责令停工整治。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受到罚款处罚，被责令改正，拒不改正的，可以自责令改正之日的次日起，按照原处罚数额按日连续处罚。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垃圾转运站、中转站、填埋场和建筑垃圾消纳场未采取围挡、覆盖、喷淋、道路硬化或者其他抑尘措施的，由市容环境卫生等主管部门按照职责责令改正，处一万元以上十万元以下的罚款；拒不改正的，责令停工整治或者停业整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违反本条例规定，煤矿、非煤矿山等堆场和进出矿（场）区道路未采取措施防治扬尘污染的，由</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环境主管部门责令改正，处一万元以上十万元以下的罚款；拒不改正的，责令停工整治或者停业整治。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运输煤炭、垃圾、渣土、砂石、土方、灰浆等散装、流体物料的车辆，未采取遮盖、密闭或者其他措施防止物料遗撒、泄漏的，或者未按照规定的路线、时间段行驶的，由市容环境卫生、交通运输等主管部门按照职责责令改正，处二千元以上二万元以下的罚款；拒不改正的，车辆不得上道路行驶。</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在城乡规划区、人口集中地区和其他依法需要特殊保护的区域内，焚烧油毡、橡胶、塑料、皮革、沥青、垃圾等产生有毒有害、恶臭或者强烈异味气体的物质的，由市容环境卫生等主管部门按照职责责令改正，对单位处一万元以上十万元以下的罚款，对个人处五百元以上二千元以下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违反本条例规定，在县级以上人民政府划定区域内，露天焚烧秸秆、落叶、枯草等产生烟尘污染的物质，由农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主管部门或者市容环境卫生主管部门按照职责责令改正，并可以处五百元以上二千元以下的罚款。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违反本条例规定，泄漏、排放消耗臭氧层物质的，由</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环境主管部门责令改正，处五万元的罚款；拒不改正的，处十万元的罚款。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违反本条例规定，抛洒、遗弃消耗臭氧层物质的，由</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环境主管部门责令改正，处进行无害化处理所需费用三倍的罚款。</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第五十三条</w:t>
      </w:r>
      <w:r>
        <w:rPr>
          <w:rStyle w:val="8"/>
          <w:rFonts w:hint="eastAsia" w:ascii="黑体" w:hAnsi="黑体" w:eastAsia="黑体" w:cs="黑体"/>
          <w:b w:val="0"/>
          <w:bCs w:val="0"/>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违反本条例规定的其他行为，依照相关法律、法规的规定处罚。</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环境主管部门对有关部门及其工作人员不履行大气污染防治监督管理职责的，可以提出履职建议书；接到履职建议书后仍未采取监督管理措施的，应当向其任免机关或者监察机关提出处分建议。</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第五十五条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各级人民政府、县级以上人民政府</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环境主管部门和其他负有大气环境保护监督管理职责的部门及其工作人员滥用职权、玩忽职守、徇私舞弊、弄虚作假的，依法给予处分；构成犯罪的，依法追究刑事责任。</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6"/>
        <w:jc w:val="center"/>
        <w:textAlignment w:val="auto"/>
        <w:outlineLvl w:val="9"/>
        <w:rPr>
          <w:rFonts w:hint="eastAsia" w:ascii="仿宋_GB2312" w:hAnsi="仿宋_GB2312" w:eastAsia="仿宋_GB2312" w:cs="仿宋_GB2312"/>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第八章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附则</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8"/>
          <w:rFonts w:hint="eastAsia" w:ascii="黑体" w:hAnsi="黑体" w:eastAsia="黑体" w:cs="黑体"/>
          <w:b w:val="0"/>
          <w:bCs w:val="0"/>
          <w:color w:val="000000"/>
          <w:spacing w:val="0"/>
          <w:sz w:val="32"/>
          <w:szCs w:val="32"/>
        </w:rPr>
      </w:pP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本条例自2017年11月1日起施行。</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modern"/>
    <w:pitch w:val="default"/>
    <w:sig w:usb0="80000287" w:usb1="280F3C52" w:usb2="00000016" w:usb3="00000000" w:csb0="0004001F"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5E14F6A"/>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apple-converted-space"/>
    <w:basedOn w:val="6"/>
    <w:qFormat/>
    <w:uiPriority w:val="0"/>
  </w:style>
  <w:style w:type="character" w:customStyle="1" w:styleId="13">
    <w:name w:val="listblackfont14h30"/>
    <w:basedOn w:val="6"/>
    <w:uiPriority w:val="0"/>
  </w:style>
  <w:style w:type="character" w:customStyle="1" w:styleId="14">
    <w:name w:val="listblackfont20h30heiti"/>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2019-04-23T06:38:21Z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