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Theme="minorEastAsia" w:hAnsiTheme="minorEastAsia" w:eastAsiaTheme="minorEastAsia" w:cstheme="minorEastAsia"/>
          <w:color w:val="000000" w:themeColor="text1"/>
          <w:sz w:val="32"/>
          <w:szCs w:val="32"/>
          <w14:textFill>
            <w14:solidFill>
              <w14:schemeClr w14:val="tx1"/>
            </w14:solidFill>
          </w14:textFill>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Theme="minorEastAsia" w:hAnsiTheme="minorEastAsia" w:eastAsiaTheme="minorEastAsia" w:cstheme="minorEastAsia"/>
          <w:color w:val="000000" w:themeColor="text1"/>
          <w:sz w:val="44"/>
          <w:szCs w:val="44"/>
          <w14:textFill>
            <w14:solidFill>
              <w14:schemeClr w14:val="tx1"/>
            </w14:solidFill>
          </w14:textFill>
        </w:rPr>
      </w:pPr>
      <w:r>
        <w:rPr>
          <w:rFonts w:hint="eastAsia" w:asciiTheme="minorEastAsia" w:hAnsiTheme="minorEastAsia" w:eastAsiaTheme="minorEastAsia" w:cstheme="minorEastAsia"/>
          <w:color w:val="000000" w:themeColor="text1"/>
          <w:sz w:val="44"/>
          <w:szCs w:val="44"/>
          <w14:textFill>
            <w14:solidFill>
              <w14:schemeClr w14:val="tx1"/>
            </w14:solidFill>
          </w14:textFill>
        </w:rPr>
        <w:t>宁夏回族自治区旅游条例</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sz w:val="44"/>
          <w:szCs w:val="44"/>
        </w:rPr>
      </w:pPr>
    </w:p>
    <w:p>
      <w:pPr>
        <w:ind w:left="639" w:leftChars="0" w:right="531" w:rightChars="253" w:hanging="639" w:hangingChars="213"/>
        <w:jc w:val="both"/>
        <w:rPr>
          <w:rFonts w:hint="eastAsia" w:ascii="楷体" w:hAnsi="楷体" w:eastAsia="楷体" w:cs="楷体"/>
          <w:sz w:val="32"/>
          <w:szCs w:val="32"/>
        </w:rPr>
      </w:pPr>
      <w:r>
        <w:rPr>
          <w:rFonts w:hint="eastAsia" w:ascii="仿宋" w:hAnsi="仿宋" w:eastAsia="仿宋" w:cs="仿宋"/>
          <w:color w:val="000000" w:themeColor="text1"/>
          <w:sz w:val="30"/>
          <w:szCs w:val="30"/>
          <w:lang w:val="en-US" w:eastAsia="zh-CN"/>
          <w14:textFill>
            <w14:solidFill>
              <w14:schemeClr w14:val="tx1"/>
            </w14:solidFill>
          </w14:textFill>
        </w:rPr>
        <w:t xml:space="preserve">    </w:t>
      </w:r>
      <w:r>
        <w:rPr>
          <w:rFonts w:hint="eastAsia" w:ascii="楷体" w:hAnsi="楷体" w:eastAsia="楷体" w:cs="楷体"/>
          <w:spacing w:val="0"/>
          <w:w w:val="100"/>
          <w:sz w:val="32"/>
          <w:szCs w:val="32"/>
        </w:rPr>
        <w:t>（2007年3月29日自治区第九届人民代表大会常务委员会第二十七次会议通过</w:t>
      </w:r>
      <w:r>
        <w:rPr>
          <w:rFonts w:hint="eastAsia" w:ascii="楷体" w:hAnsi="楷体" w:eastAsia="楷体" w:cs="楷体"/>
          <w:spacing w:val="0"/>
          <w:w w:val="100"/>
          <w:sz w:val="32"/>
          <w:szCs w:val="32"/>
          <w:lang w:val="en-US" w:eastAsia="zh-CN"/>
        </w:rPr>
        <w:t xml:space="preserve">  </w:t>
      </w:r>
      <w:r>
        <w:rPr>
          <w:rFonts w:hint="eastAsia" w:ascii="楷体" w:hAnsi="楷体" w:eastAsia="楷体" w:cs="楷体"/>
          <w:spacing w:val="0"/>
          <w:w w:val="100"/>
          <w:sz w:val="32"/>
          <w:szCs w:val="32"/>
        </w:rPr>
        <w:t xml:space="preserve">2017年9月28日宁夏回族自治区第十一届人民代表大会常务委员会第三十三次会议修订 </w:t>
      </w:r>
      <w:r>
        <w:rPr>
          <w:rFonts w:hint="eastAsia" w:ascii="楷体" w:hAnsi="楷体" w:eastAsia="楷体" w:cs="楷体"/>
          <w:bCs/>
          <w:color w:val="000000" w:themeColor="text1"/>
          <w:spacing w:val="0"/>
          <w:w w:val="100"/>
          <w:sz w:val="32"/>
          <w:szCs w:val="32"/>
          <w:lang w:eastAsia="zh-CN"/>
          <w14:textFill>
            <w14:solidFill>
              <w14:schemeClr w14:val="tx1"/>
            </w14:solidFill>
          </w14:textFill>
        </w:rPr>
        <w:t>根据</w:t>
      </w:r>
      <w:r>
        <w:rPr>
          <w:rFonts w:hint="eastAsia" w:ascii="楷体" w:hAnsi="楷体" w:eastAsia="楷体" w:cs="楷体"/>
          <w:bCs/>
          <w:color w:val="000000" w:themeColor="text1"/>
          <w:spacing w:val="0"/>
          <w:w w:val="100"/>
          <w:sz w:val="32"/>
          <w:szCs w:val="32"/>
          <w14:textFill>
            <w14:solidFill>
              <w14:schemeClr w14:val="tx1"/>
            </w14:solidFill>
          </w14:textFill>
        </w:rPr>
        <w:t>20</w:t>
      </w:r>
      <w:r>
        <w:rPr>
          <w:rFonts w:hint="eastAsia" w:ascii="楷体" w:hAnsi="楷体" w:eastAsia="楷体" w:cs="楷体"/>
          <w:bCs/>
          <w:color w:val="000000" w:themeColor="text1"/>
          <w:spacing w:val="0"/>
          <w:w w:val="100"/>
          <w:sz w:val="32"/>
          <w:szCs w:val="32"/>
          <w:lang w:val="en-US" w:eastAsia="zh-CN"/>
          <w14:textFill>
            <w14:solidFill>
              <w14:schemeClr w14:val="tx1"/>
            </w14:solidFill>
          </w14:textFill>
        </w:rPr>
        <w:t>20</w:t>
      </w:r>
      <w:r>
        <w:rPr>
          <w:rFonts w:hint="eastAsia" w:ascii="楷体" w:hAnsi="楷体" w:eastAsia="楷体" w:cs="楷体"/>
          <w:bCs/>
          <w:color w:val="000000" w:themeColor="text1"/>
          <w:spacing w:val="0"/>
          <w:w w:val="100"/>
          <w:sz w:val="32"/>
          <w:szCs w:val="32"/>
          <w14:textFill>
            <w14:solidFill>
              <w14:schemeClr w14:val="tx1"/>
            </w14:solidFill>
          </w14:textFill>
        </w:rPr>
        <w:t>年</w:t>
      </w:r>
      <w:r>
        <w:rPr>
          <w:rFonts w:hint="eastAsia" w:ascii="楷体" w:hAnsi="楷体" w:eastAsia="楷体" w:cs="楷体"/>
          <w:bCs/>
          <w:color w:val="000000" w:themeColor="text1"/>
          <w:spacing w:val="0"/>
          <w:w w:val="100"/>
          <w:sz w:val="32"/>
          <w:szCs w:val="32"/>
          <w:lang w:val="en-US" w:eastAsia="zh-CN"/>
          <w14:textFill>
            <w14:solidFill>
              <w14:schemeClr w14:val="tx1"/>
            </w14:solidFill>
          </w14:textFill>
        </w:rPr>
        <w:t>11</w:t>
      </w:r>
      <w:r>
        <w:rPr>
          <w:rFonts w:hint="eastAsia" w:ascii="楷体" w:hAnsi="楷体" w:eastAsia="楷体" w:cs="楷体"/>
          <w:bCs/>
          <w:color w:val="000000" w:themeColor="text1"/>
          <w:spacing w:val="0"/>
          <w:w w:val="100"/>
          <w:sz w:val="32"/>
          <w:szCs w:val="32"/>
          <w14:textFill>
            <w14:solidFill>
              <w14:schemeClr w14:val="tx1"/>
            </w14:solidFill>
          </w14:textFill>
        </w:rPr>
        <w:t>月</w:t>
      </w:r>
      <w:r>
        <w:rPr>
          <w:rFonts w:hint="eastAsia" w:ascii="楷体" w:hAnsi="楷体" w:eastAsia="楷体" w:cs="楷体"/>
          <w:bCs/>
          <w:color w:val="000000" w:themeColor="text1"/>
          <w:spacing w:val="0"/>
          <w:w w:val="100"/>
          <w:sz w:val="32"/>
          <w:szCs w:val="32"/>
          <w:lang w:val="en-US" w:eastAsia="zh-CN"/>
          <w14:textFill>
            <w14:solidFill>
              <w14:schemeClr w14:val="tx1"/>
            </w14:solidFill>
          </w14:textFill>
        </w:rPr>
        <w:t>25</w:t>
      </w:r>
      <w:r>
        <w:rPr>
          <w:rFonts w:hint="eastAsia" w:ascii="楷体" w:hAnsi="楷体" w:eastAsia="楷体" w:cs="楷体"/>
          <w:bCs/>
          <w:color w:val="000000" w:themeColor="text1"/>
          <w:spacing w:val="0"/>
          <w:w w:val="100"/>
          <w:sz w:val="32"/>
          <w:szCs w:val="32"/>
          <w14:textFill>
            <w14:solidFill>
              <w14:schemeClr w14:val="tx1"/>
            </w14:solidFill>
          </w14:textFill>
        </w:rPr>
        <w:t>日</w:t>
      </w:r>
      <w:r>
        <w:rPr>
          <w:rFonts w:hint="eastAsia" w:ascii="楷体" w:hAnsi="楷体" w:eastAsia="楷体" w:cs="楷体"/>
          <w:bCs/>
          <w:color w:val="000000" w:themeColor="text1"/>
          <w:spacing w:val="0"/>
          <w:w w:val="100"/>
          <w:sz w:val="32"/>
          <w:szCs w:val="32"/>
          <w:lang w:eastAsia="zh-CN"/>
          <w14:textFill>
            <w14:solidFill>
              <w14:schemeClr w14:val="tx1"/>
            </w14:solidFill>
          </w14:textFill>
        </w:rPr>
        <w:t>宁夏回族自治区</w:t>
      </w:r>
      <w:r>
        <w:rPr>
          <w:rFonts w:hint="eastAsia" w:ascii="楷体" w:hAnsi="楷体" w:eastAsia="楷体" w:cs="楷体"/>
          <w:bCs/>
          <w:color w:val="000000" w:themeColor="text1"/>
          <w:spacing w:val="0"/>
          <w:w w:val="100"/>
          <w:sz w:val="32"/>
          <w:szCs w:val="32"/>
          <w14:textFill>
            <w14:solidFill>
              <w14:schemeClr w14:val="tx1"/>
            </w14:solidFill>
          </w14:textFill>
        </w:rPr>
        <w:t>第十</w:t>
      </w:r>
      <w:r>
        <w:rPr>
          <w:rFonts w:hint="eastAsia" w:ascii="楷体" w:hAnsi="楷体" w:eastAsia="楷体" w:cs="楷体"/>
          <w:bCs/>
          <w:color w:val="000000" w:themeColor="text1"/>
          <w:spacing w:val="0"/>
          <w:w w:val="100"/>
          <w:sz w:val="32"/>
          <w:szCs w:val="32"/>
          <w:lang w:eastAsia="zh-CN"/>
          <w14:textFill>
            <w14:solidFill>
              <w14:schemeClr w14:val="tx1"/>
            </w14:solidFill>
          </w14:textFill>
        </w:rPr>
        <w:t>二</w:t>
      </w:r>
      <w:r>
        <w:rPr>
          <w:rFonts w:hint="eastAsia" w:ascii="楷体" w:hAnsi="楷体" w:eastAsia="楷体" w:cs="楷体"/>
          <w:bCs/>
          <w:color w:val="000000" w:themeColor="text1"/>
          <w:spacing w:val="0"/>
          <w:w w:val="100"/>
          <w:sz w:val="32"/>
          <w:szCs w:val="32"/>
          <w14:textFill>
            <w14:solidFill>
              <w14:schemeClr w14:val="tx1"/>
            </w14:solidFill>
          </w14:textFill>
        </w:rPr>
        <w:t>届人民代表大会常务委员会第</w:t>
      </w:r>
      <w:r>
        <w:rPr>
          <w:rFonts w:hint="eastAsia" w:ascii="楷体" w:hAnsi="楷体" w:eastAsia="楷体" w:cs="楷体"/>
          <w:bCs/>
          <w:color w:val="000000" w:themeColor="text1"/>
          <w:spacing w:val="0"/>
          <w:w w:val="100"/>
          <w:sz w:val="32"/>
          <w:szCs w:val="32"/>
          <w:lang w:eastAsia="zh-CN"/>
          <w14:textFill>
            <w14:solidFill>
              <w14:schemeClr w14:val="tx1"/>
            </w14:solidFill>
          </w14:textFill>
        </w:rPr>
        <w:t>二十三</w:t>
      </w:r>
      <w:r>
        <w:rPr>
          <w:rFonts w:hint="eastAsia" w:ascii="楷体" w:hAnsi="楷体" w:eastAsia="楷体" w:cs="楷体"/>
          <w:bCs/>
          <w:color w:val="000000" w:themeColor="text1"/>
          <w:spacing w:val="0"/>
          <w:w w:val="100"/>
          <w:sz w:val="32"/>
          <w:szCs w:val="32"/>
          <w14:textFill>
            <w14:solidFill>
              <w14:schemeClr w14:val="tx1"/>
            </w14:solidFill>
          </w14:textFill>
        </w:rPr>
        <w:t>次会议</w:t>
      </w:r>
      <w:r>
        <w:rPr>
          <w:rFonts w:hint="eastAsia" w:ascii="楷体" w:hAnsi="楷体" w:eastAsia="楷体" w:cs="楷体"/>
          <w:color w:val="000000" w:themeColor="text1"/>
          <w:spacing w:val="0"/>
          <w:w w:val="100"/>
          <w:sz w:val="32"/>
          <w:szCs w:val="32"/>
          <w14:textFill>
            <w14:solidFill>
              <w14:schemeClr w14:val="tx1"/>
            </w14:solidFill>
          </w14:textFill>
        </w:rPr>
        <w:t>《</w:t>
      </w:r>
      <w:r>
        <w:rPr>
          <w:rFonts w:hint="eastAsia" w:ascii="楷体" w:hAnsi="楷体" w:eastAsia="楷体" w:cs="楷体"/>
          <w:color w:val="000000" w:themeColor="text1"/>
          <w:spacing w:val="0"/>
          <w:w w:val="100"/>
          <w:sz w:val="32"/>
          <w:szCs w:val="32"/>
          <w:lang w:eastAsia="zh-CN"/>
          <w14:textFill>
            <w14:solidFill>
              <w14:schemeClr w14:val="tx1"/>
            </w14:solidFill>
          </w14:textFill>
        </w:rPr>
        <w:t>关</w:t>
      </w:r>
      <w:r>
        <w:rPr>
          <w:rFonts w:hint="eastAsia" w:ascii="楷体" w:hAnsi="楷体" w:eastAsia="楷体" w:cs="楷体"/>
          <w:color w:val="000000" w:themeColor="text1"/>
          <w:spacing w:val="6"/>
          <w:w w:val="100"/>
          <w:sz w:val="32"/>
          <w:szCs w:val="32"/>
          <w:lang w:eastAsia="zh-CN"/>
          <w14:textFill>
            <w14:solidFill>
              <w14:schemeClr w14:val="tx1"/>
            </w14:solidFill>
          </w14:textFill>
        </w:rPr>
        <w:t>于修改</w:t>
      </w:r>
      <w:r>
        <w:rPr>
          <w:rFonts w:hint="eastAsia" w:ascii="楷体" w:hAnsi="楷体" w:eastAsia="楷体" w:cs="楷体"/>
          <w:color w:val="000000" w:themeColor="text1"/>
          <w:spacing w:val="6"/>
          <w:w w:val="100"/>
          <w:sz w:val="32"/>
          <w:szCs w:val="32"/>
          <w14:textFill>
            <w14:solidFill>
              <w14:schemeClr w14:val="tx1"/>
            </w14:solidFill>
          </w14:textFill>
        </w:rPr>
        <w:t>〈</w:t>
      </w:r>
      <w:r>
        <w:rPr>
          <w:rFonts w:hint="eastAsia" w:ascii="楷体" w:hAnsi="楷体" w:eastAsia="楷体" w:cs="楷体"/>
          <w:color w:val="000000" w:themeColor="text1"/>
          <w:spacing w:val="6"/>
          <w:w w:val="100"/>
          <w:sz w:val="32"/>
          <w:szCs w:val="32"/>
          <w:lang w:eastAsia="zh-CN"/>
          <w14:textFill>
            <w14:solidFill>
              <w14:schemeClr w14:val="tx1"/>
            </w14:solidFill>
          </w14:textFill>
        </w:rPr>
        <w:t>宁夏回族自</w:t>
      </w:r>
      <w:r>
        <w:rPr>
          <w:rFonts w:hint="eastAsia" w:ascii="楷体" w:hAnsi="楷体" w:eastAsia="楷体" w:cs="楷体"/>
          <w:spacing w:val="6"/>
          <w:w w:val="100"/>
          <w:sz w:val="32"/>
          <w:szCs w:val="32"/>
          <w:lang w:eastAsia="zh-CN"/>
        </w:rPr>
        <w:t>治区</w:t>
      </w:r>
      <w:r>
        <w:rPr>
          <w:rFonts w:hint="eastAsia" w:ascii="楷体" w:hAnsi="楷体" w:eastAsia="楷体" w:cs="楷体"/>
          <w:spacing w:val="6"/>
          <w:w w:val="100"/>
          <w:sz w:val="32"/>
          <w:szCs w:val="32"/>
        </w:rPr>
        <w:t>旅游条例</w:t>
      </w:r>
      <w:r>
        <w:rPr>
          <w:rFonts w:hint="eastAsia" w:ascii="楷体" w:hAnsi="楷体" w:eastAsia="楷体" w:cs="楷体"/>
          <w:color w:val="000000" w:themeColor="text1"/>
          <w:spacing w:val="6"/>
          <w:w w:val="100"/>
          <w:sz w:val="32"/>
          <w:szCs w:val="32"/>
          <w14:textFill>
            <w14:solidFill>
              <w14:schemeClr w14:val="tx1"/>
            </w14:solidFill>
          </w14:textFill>
        </w:rPr>
        <w:t>〉</w:t>
      </w:r>
      <w:r>
        <w:rPr>
          <w:rFonts w:hint="eastAsia" w:ascii="楷体" w:hAnsi="楷体" w:eastAsia="楷体" w:cs="楷体"/>
          <w:color w:val="000000" w:themeColor="text1"/>
          <w:spacing w:val="6"/>
          <w:w w:val="100"/>
          <w:sz w:val="32"/>
          <w:szCs w:val="32"/>
          <w:lang w:val="en-US" w:eastAsia="zh-CN"/>
          <w14:textFill>
            <w14:solidFill>
              <w14:schemeClr w14:val="tx1"/>
            </w14:solidFill>
          </w14:textFill>
        </w:rPr>
        <w:t>的决定</w:t>
      </w:r>
      <w:r>
        <w:rPr>
          <w:rFonts w:hint="eastAsia" w:ascii="楷体" w:hAnsi="楷体" w:eastAsia="楷体" w:cs="楷体"/>
          <w:color w:val="000000" w:themeColor="text1"/>
          <w:spacing w:val="6"/>
          <w:w w:val="100"/>
          <w:sz w:val="32"/>
          <w:szCs w:val="32"/>
          <w14:textFill>
            <w14:solidFill>
              <w14:schemeClr w14:val="tx1"/>
            </w14:solidFill>
          </w14:textFill>
        </w:rPr>
        <w:t>》</w:t>
      </w:r>
      <w:r>
        <w:rPr>
          <w:rFonts w:hint="eastAsia" w:ascii="楷体" w:hAnsi="楷体" w:eastAsia="楷体" w:cs="楷体"/>
          <w:color w:val="000000" w:themeColor="text1"/>
          <w:spacing w:val="6"/>
          <w:w w:val="100"/>
          <w:sz w:val="32"/>
          <w:szCs w:val="32"/>
          <w:lang w:eastAsia="zh-CN"/>
          <w14:textFill>
            <w14:solidFill>
              <w14:schemeClr w14:val="tx1"/>
            </w14:solidFill>
          </w14:textFill>
        </w:rPr>
        <w:t>第二次修正</w:t>
      </w:r>
      <w:r>
        <w:rPr>
          <w:rFonts w:hint="eastAsia" w:ascii="楷体" w:hAnsi="楷体" w:eastAsia="楷体" w:cs="楷体"/>
          <w:color w:val="000000" w:themeColor="text1"/>
          <w:spacing w:val="6"/>
          <w:w w:val="100"/>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楷体" w:hAnsi="楷体" w:eastAsia="楷体" w:cs="楷体"/>
          <w:color w:val="000000" w:themeColor="text1"/>
          <w:sz w:val="32"/>
          <w:szCs w:val="32"/>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楷体" w:hAnsi="楷体" w:eastAsia="楷体" w:cs="楷体"/>
          <w:b w:val="0"/>
          <w:bCs w:val="0"/>
          <w:color w:val="000000" w:themeColor="text1"/>
          <w:sz w:val="32"/>
          <w:szCs w:val="32"/>
          <w:lang w:eastAsia="zh-CN"/>
          <w14:textFill>
            <w14:solidFill>
              <w14:schemeClr w14:val="tx1"/>
            </w14:solidFill>
          </w14:textFill>
        </w:rPr>
      </w:pPr>
      <w:r>
        <w:rPr>
          <w:rFonts w:hint="eastAsia" w:ascii="楷体" w:hAnsi="楷体" w:eastAsia="楷体" w:cs="楷体"/>
          <w:b w:val="0"/>
          <w:bCs w:val="0"/>
          <w:color w:val="000000" w:themeColor="text1"/>
          <w:sz w:val="32"/>
          <w:szCs w:val="32"/>
          <w:lang w:eastAsia="zh-CN"/>
          <w14:textFill>
            <w14:solidFill>
              <w14:schemeClr w14:val="tx1"/>
            </w14:solidFill>
          </w14:textFill>
        </w:rPr>
        <w:t>目</w:t>
      </w:r>
      <w:r>
        <w:rPr>
          <w:rFonts w:hint="eastAsia" w:ascii="楷体" w:hAnsi="楷体" w:eastAsia="楷体" w:cs="楷体"/>
          <w:b w:val="0"/>
          <w:bCs w:val="0"/>
          <w:color w:val="000000" w:themeColor="text1"/>
          <w:sz w:val="32"/>
          <w:szCs w:val="32"/>
          <w:lang w:val="en-US" w:eastAsia="zh-CN"/>
          <w14:textFill>
            <w14:solidFill>
              <w14:schemeClr w14:val="tx1"/>
            </w14:solidFill>
          </w14:textFill>
        </w:rPr>
        <w:t xml:space="preserve">    </w:t>
      </w:r>
      <w:r>
        <w:rPr>
          <w:rFonts w:hint="eastAsia" w:ascii="楷体" w:hAnsi="楷体" w:eastAsia="楷体" w:cs="楷体"/>
          <w:b w:val="0"/>
          <w:bCs w:val="0"/>
          <w:color w:val="000000" w:themeColor="text1"/>
          <w:sz w:val="32"/>
          <w:szCs w:val="32"/>
          <w:lang w:eastAsia="zh-CN"/>
          <w14:textFill>
            <w14:solidFill>
              <w14:schemeClr w14:val="tx1"/>
            </w14:solidFill>
          </w14:textFill>
        </w:rPr>
        <w:t>录</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660" w:lineRule="exact"/>
        <w:ind w:left="0" w:leftChars="0" w:right="0" w:rightChars="0" w:firstLine="0" w:firstLineChars="0"/>
        <w:jc w:val="both"/>
        <w:textAlignment w:val="auto"/>
        <w:outlineLvl w:val="9"/>
        <w:rPr>
          <w:rFonts w:hint="eastAsia" w:ascii="楷体" w:hAnsi="楷体" w:eastAsia="楷体" w:cs="楷体"/>
          <w:b w:val="0"/>
          <w:bCs w:val="0"/>
          <w:color w:val="000000" w:themeColor="text1"/>
          <w:sz w:val="32"/>
          <w:szCs w:val="32"/>
          <w:lang w:val="en-US" w:eastAsia="zh-CN"/>
          <w14:textFill>
            <w14:solidFill>
              <w14:schemeClr w14:val="tx1"/>
            </w14:solidFill>
          </w14:textFill>
        </w:rPr>
      </w:pPr>
      <w:r>
        <w:rPr>
          <w:rFonts w:hint="eastAsia" w:ascii="楷体" w:hAnsi="楷体" w:eastAsia="楷体" w:cs="楷体"/>
          <w:b w:val="0"/>
          <w:bCs w:val="0"/>
          <w:color w:val="000000" w:themeColor="text1"/>
          <w:sz w:val="32"/>
          <w:szCs w:val="32"/>
          <w:lang w:val="en-US" w:eastAsia="zh-CN"/>
          <w14:textFill>
            <w14:solidFill>
              <w14:schemeClr w14:val="tx1"/>
            </w14:solidFill>
          </w14:textFill>
        </w:rPr>
        <w:t xml:space="preserve">    </w:t>
      </w:r>
      <w:r>
        <w:rPr>
          <w:rFonts w:hint="eastAsia" w:ascii="楷体" w:hAnsi="楷体" w:eastAsia="楷体" w:cs="楷体"/>
          <w:b w:val="0"/>
          <w:bCs w:val="0"/>
          <w:color w:val="000000" w:themeColor="text1"/>
          <w:sz w:val="32"/>
          <w:szCs w:val="32"/>
          <w:lang w:eastAsia="zh-CN"/>
          <w14:textFill>
            <w14:solidFill>
              <w14:schemeClr w14:val="tx1"/>
            </w14:solidFill>
          </w14:textFill>
        </w:rPr>
        <w:t>第一章</w:t>
      </w:r>
      <w:r>
        <w:rPr>
          <w:rFonts w:hint="eastAsia" w:ascii="楷体" w:hAnsi="楷体" w:eastAsia="楷体" w:cs="楷体"/>
          <w:b w:val="0"/>
          <w:bCs w:val="0"/>
          <w:color w:val="000000" w:themeColor="text1"/>
          <w:sz w:val="32"/>
          <w:szCs w:val="32"/>
          <w:lang w:val="en-US" w:eastAsia="zh-CN"/>
          <w14:textFill>
            <w14:solidFill>
              <w14:schemeClr w14:val="tx1"/>
            </w14:solidFill>
          </w14:textFill>
        </w:rPr>
        <w:t xml:space="preserve">  总则</w:t>
      </w:r>
    </w:p>
    <w:p>
      <w:pPr>
        <w:keepNext w:val="0"/>
        <w:keepLines w:val="0"/>
        <w:pageBreakBefore w:val="0"/>
        <w:widowControl w:val="0"/>
        <w:kinsoku/>
        <w:wordWrap/>
        <w:overflowPunct/>
        <w:topLinePunct w:val="0"/>
        <w:autoSpaceDE/>
        <w:autoSpaceDN/>
        <w:bidi w:val="0"/>
        <w:adjustRightInd/>
        <w:snapToGrid w:val="0"/>
        <w:spacing w:line="660" w:lineRule="exact"/>
        <w:ind w:left="0" w:leftChars="0" w:right="0" w:rightChars="0" w:firstLine="0" w:firstLineChars="0"/>
        <w:jc w:val="both"/>
        <w:textAlignment w:val="auto"/>
        <w:outlineLvl w:val="9"/>
        <w:rPr>
          <w:rFonts w:hint="eastAsia" w:ascii="楷体" w:hAnsi="楷体" w:eastAsia="楷体" w:cs="楷体"/>
          <w:b w:val="0"/>
          <w:bCs w:val="0"/>
          <w:color w:val="000000" w:themeColor="text1"/>
          <w:sz w:val="32"/>
          <w:szCs w:val="32"/>
          <w:lang w:val="en-US" w:eastAsia="zh-CN"/>
          <w14:textFill>
            <w14:solidFill>
              <w14:schemeClr w14:val="tx1"/>
            </w14:solidFill>
          </w14:textFill>
        </w:rPr>
      </w:pPr>
      <w:r>
        <w:rPr>
          <w:rFonts w:hint="eastAsia" w:ascii="楷体" w:hAnsi="楷体" w:eastAsia="楷体" w:cs="楷体"/>
          <w:b w:val="0"/>
          <w:bCs w:val="0"/>
          <w:color w:val="000000" w:themeColor="text1"/>
          <w:sz w:val="32"/>
          <w:szCs w:val="32"/>
          <w:lang w:val="en-US" w:eastAsia="zh-CN"/>
          <w14:textFill>
            <w14:solidFill>
              <w14:schemeClr w14:val="tx1"/>
            </w14:solidFill>
          </w14:textFill>
        </w:rPr>
        <w:t xml:space="preserve">    第二章  旅游规划</w:t>
      </w:r>
    </w:p>
    <w:p>
      <w:pPr>
        <w:keepNext w:val="0"/>
        <w:keepLines w:val="0"/>
        <w:pageBreakBefore w:val="0"/>
        <w:widowControl w:val="0"/>
        <w:kinsoku/>
        <w:wordWrap/>
        <w:overflowPunct/>
        <w:topLinePunct w:val="0"/>
        <w:autoSpaceDE/>
        <w:autoSpaceDN/>
        <w:bidi w:val="0"/>
        <w:adjustRightInd/>
        <w:snapToGrid w:val="0"/>
        <w:spacing w:line="660" w:lineRule="exact"/>
        <w:ind w:left="0" w:leftChars="0" w:right="0" w:rightChars="0" w:firstLine="0" w:firstLineChars="0"/>
        <w:jc w:val="both"/>
        <w:textAlignment w:val="auto"/>
        <w:outlineLvl w:val="9"/>
        <w:rPr>
          <w:rFonts w:hint="eastAsia" w:ascii="楷体" w:hAnsi="楷体" w:eastAsia="楷体" w:cs="楷体"/>
          <w:b w:val="0"/>
          <w:bCs w:val="0"/>
          <w:color w:val="000000" w:themeColor="text1"/>
          <w:sz w:val="32"/>
          <w:szCs w:val="32"/>
          <w:lang w:val="en-US" w:eastAsia="zh-CN"/>
          <w14:textFill>
            <w14:solidFill>
              <w14:schemeClr w14:val="tx1"/>
            </w14:solidFill>
          </w14:textFill>
        </w:rPr>
      </w:pPr>
      <w:r>
        <w:rPr>
          <w:rFonts w:hint="eastAsia" w:ascii="楷体" w:hAnsi="楷体" w:eastAsia="楷体" w:cs="楷体"/>
          <w:b w:val="0"/>
          <w:bCs w:val="0"/>
          <w:color w:val="000000" w:themeColor="text1"/>
          <w:sz w:val="32"/>
          <w:szCs w:val="32"/>
          <w:lang w:val="en-US" w:eastAsia="zh-CN"/>
          <w14:textFill>
            <w14:solidFill>
              <w14:schemeClr w14:val="tx1"/>
            </w14:solidFill>
          </w14:textFill>
        </w:rPr>
        <w:t xml:space="preserve">    第三章  旅游促进</w:t>
      </w:r>
    </w:p>
    <w:p>
      <w:pPr>
        <w:keepNext w:val="0"/>
        <w:keepLines w:val="0"/>
        <w:pageBreakBefore w:val="0"/>
        <w:widowControl w:val="0"/>
        <w:kinsoku/>
        <w:wordWrap/>
        <w:overflowPunct/>
        <w:topLinePunct w:val="0"/>
        <w:autoSpaceDE/>
        <w:autoSpaceDN/>
        <w:bidi w:val="0"/>
        <w:adjustRightInd/>
        <w:snapToGrid w:val="0"/>
        <w:spacing w:line="660" w:lineRule="exact"/>
        <w:ind w:left="0" w:leftChars="0" w:right="0" w:rightChars="0" w:firstLine="0" w:firstLineChars="0"/>
        <w:jc w:val="both"/>
        <w:textAlignment w:val="auto"/>
        <w:outlineLvl w:val="9"/>
        <w:rPr>
          <w:rFonts w:hint="eastAsia" w:ascii="楷体" w:hAnsi="楷体" w:eastAsia="楷体" w:cs="楷体"/>
          <w:b w:val="0"/>
          <w:bCs w:val="0"/>
          <w:color w:val="000000" w:themeColor="text1"/>
          <w:sz w:val="32"/>
          <w:szCs w:val="32"/>
          <w:lang w:val="en-US" w:eastAsia="zh-CN"/>
          <w14:textFill>
            <w14:solidFill>
              <w14:schemeClr w14:val="tx1"/>
            </w14:solidFill>
          </w14:textFill>
        </w:rPr>
      </w:pPr>
      <w:r>
        <w:rPr>
          <w:rFonts w:hint="eastAsia" w:ascii="楷体" w:hAnsi="楷体" w:eastAsia="楷体" w:cs="楷体"/>
          <w:b w:val="0"/>
          <w:bCs w:val="0"/>
          <w:color w:val="000000" w:themeColor="text1"/>
          <w:sz w:val="32"/>
          <w:szCs w:val="32"/>
          <w:lang w:val="en-US" w:eastAsia="zh-CN"/>
          <w14:textFill>
            <w14:solidFill>
              <w14:schemeClr w14:val="tx1"/>
            </w14:solidFill>
          </w14:textFill>
        </w:rPr>
        <w:t xml:space="preserve">    第四章  旅游经营与服务</w:t>
      </w:r>
    </w:p>
    <w:p>
      <w:pPr>
        <w:keepNext w:val="0"/>
        <w:keepLines w:val="0"/>
        <w:pageBreakBefore w:val="0"/>
        <w:widowControl w:val="0"/>
        <w:kinsoku/>
        <w:wordWrap/>
        <w:overflowPunct/>
        <w:topLinePunct w:val="0"/>
        <w:autoSpaceDE/>
        <w:autoSpaceDN/>
        <w:bidi w:val="0"/>
        <w:adjustRightInd/>
        <w:snapToGrid w:val="0"/>
        <w:spacing w:line="660" w:lineRule="exact"/>
        <w:ind w:left="0" w:leftChars="0" w:right="0" w:rightChars="0" w:firstLine="0" w:firstLineChars="0"/>
        <w:jc w:val="both"/>
        <w:textAlignment w:val="auto"/>
        <w:outlineLvl w:val="9"/>
        <w:rPr>
          <w:rFonts w:hint="eastAsia" w:ascii="楷体" w:hAnsi="楷体" w:eastAsia="楷体" w:cs="楷体"/>
          <w:b w:val="0"/>
          <w:bCs w:val="0"/>
          <w:color w:val="000000" w:themeColor="text1"/>
          <w:sz w:val="32"/>
          <w:szCs w:val="32"/>
          <w:lang w:val="en-US" w:eastAsia="zh-CN"/>
          <w14:textFill>
            <w14:solidFill>
              <w14:schemeClr w14:val="tx1"/>
            </w14:solidFill>
          </w14:textFill>
        </w:rPr>
      </w:pPr>
      <w:r>
        <w:rPr>
          <w:rFonts w:hint="eastAsia" w:ascii="楷体" w:hAnsi="楷体" w:eastAsia="楷体" w:cs="楷体"/>
          <w:b w:val="0"/>
          <w:bCs w:val="0"/>
          <w:color w:val="000000" w:themeColor="text1"/>
          <w:sz w:val="32"/>
          <w:szCs w:val="32"/>
          <w:lang w:val="en-US" w:eastAsia="zh-CN"/>
          <w14:textFill>
            <w14:solidFill>
              <w14:schemeClr w14:val="tx1"/>
            </w14:solidFill>
          </w14:textFill>
        </w:rPr>
        <w:t xml:space="preserve">    第五章  旅游安全</w:t>
      </w:r>
    </w:p>
    <w:p>
      <w:pPr>
        <w:keepNext w:val="0"/>
        <w:keepLines w:val="0"/>
        <w:pageBreakBefore w:val="0"/>
        <w:widowControl w:val="0"/>
        <w:kinsoku/>
        <w:wordWrap/>
        <w:overflowPunct/>
        <w:topLinePunct w:val="0"/>
        <w:autoSpaceDE/>
        <w:autoSpaceDN/>
        <w:bidi w:val="0"/>
        <w:adjustRightInd/>
        <w:snapToGrid w:val="0"/>
        <w:spacing w:line="660" w:lineRule="exact"/>
        <w:ind w:left="0" w:leftChars="0" w:right="0" w:rightChars="0" w:firstLine="0" w:firstLineChars="0"/>
        <w:jc w:val="both"/>
        <w:textAlignment w:val="auto"/>
        <w:outlineLvl w:val="9"/>
        <w:rPr>
          <w:rFonts w:hint="eastAsia" w:ascii="楷体" w:hAnsi="楷体" w:eastAsia="楷体" w:cs="楷体"/>
          <w:b w:val="0"/>
          <w:bCs w:val="0"/>
          <w:color w:val="000000" w:themeColor="text1"/>
          <w:sz w:val="32"/>
          <w:szCs w:val="32"/>
          <w:lang w:val="en-US" w:eastAsia="zh-CN"/>
          <w14:textFill>
            <w14:solidFill>
              <w14:schemeClr w14:val="tx1"/>
            </w14:solidFill>
          </w14:textFill>
        </w:rPr>
      </w:pPr>
      <w:r>
        <w:rPr>
          <w:rFonts w:hint="eastAsia" w:ascii="楷体" w:hAnsi="楷体" w:eastAsia="楷体" w:cs="楷体"/>
          <w:b w:val="0"/>
          <w:bCs w:val="0"/>
          <w:color w:val="000000" w:themeColor="text1"/>
          <w:sz w:val="32"/>
          <w:szCs w:val="32"/>
          <w:lang w:val="en-US" w:eastAsia="zh-CN"/>
          <w14:textFill>
            <w14:solidFill>
              <w14:schemeClr w14:val="tx1"/>
            </w14:solidFill>
          </w14:textFill>
        </w:rPr>
        <w:t xml:space="preserve">    第六章  监督管理</w:t>
      </w:r>
    </w:p>
    <w:p>
      <w:pPr>
        <w:keepNext w:val="0"/>
        <w:keepLines w:val="0"/>
        <w:pageBreakBefore w:val="0"/>
        <w:widowControl w:val="0"/>
        <w:kinsoku/>
        <w:wordWrap/>
        <w:overflowPunct/>
        <w:topLinePunct w:val="0"/>
        <w:autoSpaceDE/>
        <w:autoSpaceDN/>
        <w:bidi w:val="0"/>
        <w:adjustRightInd/>
        <w:snapToGrid w:val="0"/>
        <w:spacing w:line="660" w:lineRule="exact"/>
        <w:ind w:left="0" w:leftChars="0" w:right="0" w:rightChars="0" w:firstLine="0" w:firstLineChars="0"/>
        <w:jc w:val="both"/>
        <w:textAlignment w:val="auto"/>
        <w:outlineLvl w:val="9"/>
        <w:rPr>
          <w:rFonts w:hint="eastAsia" w:ascii="楷体" w:hAnsi="楷体" w:eastAsia="楷体" w:cs="楷体"/>
          <w:b w:val="0"/>
          <w:bCs w:val="0"/>
          <w:color w:val="000000" w:themeColor="text1"/>
          <w:sz w:val="32"/>
          <w:szCs w:val="32"/>
          <w:lang w:val="en-US" w:eastAsia="zh-CN"/>
          <w14:textFill>
            <w14:solidFill>
              <w14:schemeClr w14:val="tx1"/>
            </w14:solidFill>
          </w14:textFill>
        </w:rPr>
      </w:pPr>
      <w:r>
        <w:rPr>
          <w:rFonts w:hint="eastAsia" w:ascii="楷体" w:hAnsi="楷体" w:eastAsia="楷体" w:cs="楷体"/>
          <w:b w:val="0"/>
          <w:bCs w:val="0"/>
          <w:color w:val="000000" w:themeColor="text1"/>
          <w:sz w:val="32"/>
          <w:szCs w:val="32"/>
          <w:lang w:val="en-US" w:eastAsia="zh-CN"/>
          <w14:textFill>
            <w14:solidFill>
              <w14:schemeClr w14:val="tx1"/>
            </w14:solidFill>
          </w14:textFill>
        </w:rPr>
        <w:t xml:space="preserve">    第七章  法律责任</w:t>
      </w:r>
    </w:p>
    <w:p>
      <w:pPr>
        <w:keepNext w:val="0"/>
        <w:keepLines w:val="0"/>
        <w:pageBreakBefore w:val="0"/>
        <w:widowControl w:val="0"/>
        <w:kinsoku/>
        <w:wordWrap/>
        <w:overflowPunct/>
        <w:topLinePunct w:val="0"/>
        <w:autoSpaceDE/>
        <w:autoSpaceDN/>
        <w:bidi w:val="0"/>
        <w:adjustRightInd/>
        <w:snapToGrid w:val="0"/>
        <w:spacing w:line="660" w:lineRule="exact"/>
        <w:ind w:left="0" w:leftChars="0" w:right="0" w:rightChars="0" w:firstLine="0" w:firstLineChars="0"/>
        <w:jc w:val="both"/>
        <w:textAlignment w:val="auto"/>
        <w:outlineLvl w:val="9"/>
        <w:rPr>
          <w:rFonts w:hint="eastAsia" w:ascii="楷体" w:hAnsi="楷体" w:eastAsia="楷体" w:cs="楷体"/>
          <w:b w:val="0"/>
          <w:bCs w:val="0"/>
          <w:color w:val="000000" w:themeColor="text1"/>
          <w:sz w:val="32"/>
          <w:szCs w:val="32"/>
          <w:lang w:val="en-US" w:eastAsia="zh-CN"/>
          <w14:textFill>
            <w14:solidFill>
              <w14:schemeClr w14:val="tx1"/>
            </w14:solidFill>
          </w14:textFill>
        </w:rPr>
      </w:pPr>
      <w:r>
        <w:rPr>
          <w:rFonts w:hint="eastAsia" w:ascii="楷体" w:hAnsi="楷体" w:eastAsia="楷体" w:cs="楷体"/>
          <w:b w:val="0"/>
          <w:bCs w:val="0"/>
          <w:color w:val="000000" w:themeColor="text1"/>
          <w:sz w:val="32"/>
          <w:szCs w:val="32"/>
          <w:lang w:val="en-US" w:eastAsia="zh-CN"/>
          <w14:textFill>
            <w14:solidFill>
              <w14:schemeClr w14:val="tx1"/>
            </w14:solidFill>
          </w14:textFill>
        </w:rPr>
        <w:t xml:space="preserve">    第八章  附则</w:t>
      </w:r>
    </w:p>
    <w:p>
      <w:pPr>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p>
    <w:p>
      <w:pPr>
        <w:pStyle w:val="2"/>
        <w:rPr>
          <w:rFonts w:hint="eastAsia"/>
        </w:rPr>
      </w:pPr>
    </w:p>
    <w:p>
      <w:pPr>
        <w:jc w:val="center"/>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第一章</w:t>
      </w:r>
      <w:r>
        <w:rPr>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总则</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 w:hAnsi="仿宋" w:eastAsia="仿宋" w:cs="仿宋"/>
          <w:color w:val="000000" w:themeColor="text1"/>
          <w:sz w:val="32"/>
          <w:szCs w:val="32"/>
          <w14:textFill>
            <w14:solidFill>
              <w14:schemeClr w14:val="tx1"/>
            </w14:solidFill>
          </w14:textFill>
        </w:rPr>
        <w:t xml:space="preserve"> 为了保障旅游者和旅游经营者及旅游从业人员的合法权益，规范旅游市场秩序，保护和合理利用旅游资源，促进旅游业持续健康发展，根据《中华人民共和国旅游法》和有关法律、行政法规，结合自治区实际，制定本条例。</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第二条</w:t>
      </w:r>
      <w:r>
        <w:rPr>
          <w:rFonts w:hint="eastAsia" w:ascii="仿宋" w:hAnsi="仿宋" w:eastAsia="仿宋" w:cs="仿宋"/>
          <w:color w:val="000000" w:themeColor="text1"/>
          <w:sz w:val="32"/>
          <w:szCs w:val="32"/>
          <w14:textFill>
            <w14:solidFill>
              <w14:schemeClr w14:val="tx1"/>
            </w14:solidFill>
          </w14:textFill>
        </w:rPr>
        <w:t xml:space="preserve"> 本条例适用于自治区行政区域内的旅游资源开发利用和保护、旅游活动、旅游经营服务，以及相关的监督管理。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第三条</w:t>
      </w:r>
      <w:r>
        <w:rPr>
          <w:rFonts w:hint="eastAsia" w:ascii="仿宋" w:hAnsi="仿宋" w:eastAsia="仿宋" w:cs="仿宋"/>
          <w:color w:val="000000" w:themeColor="text1"/>
          <w:sz w:val="32"/>
          <w:szCs w:val="32"/>
          <w14:textFill>
            <w14:solidFill>
              <w14:schemeClr w14:val="tx1"/>
            </w14:solidFill>
          </w14:textFill>
        </w:rPr>
        <w:t xml:space="preserve"> 旅游业发展应当遵循社会效益、经济效益和生态效益相统一的原则，以全域旅游发展为主线，体现塞上江南、神奇宁夏特色，形成政府引导、依法监管、市场运作、企业经营、全社会共同参与的发展格局。</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第四条</w:t>
      </w:r>
      <w:r>
        <w:rPr>
          <w:rFonts w:hint="eastAsia" w:ascii="仿宋" w:hAnsi="仿宋" w:eastAsia="仿宋" w:cs="仿宋"/>
          <w:color w:val="000000" w:themeColor="text1"/>
          <w:sz w:val="32"/>
          <w:szCs w:val="32"/>
          <w14:textFill>
            <w14:solidFill>
              <w14:schemeClr w14:val="tx1"/>
            </w14:solidFill>
          </w14:textFill>
        </w:rPr>
        <w:t xml:space="preserve"> 县级以上人民政府应当加强旅游业发展的统筹协调和组织领导，将旅游业发展纳入国民经济和社会发展规划，完善促进旅游业发展的政策措施，加大对旅游业的投入和扶持力度，推动旅游业与相关产业融合发展。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第五条</w:t>
      </w:r>
      <w:r>
        <w:rPr>
          <w:rFonts w:hint="eastAsia" w:ascii="仿宋" w:hAnsi="仿宋" w:eastAsia="仿宋" w:cs="仿宋"/>
          <w:color w:val="000000" w:themeColor="text1"/>
          <w:sz w:val="32"/>
          <w:szCs w:val="32"/>
          <w14:textFill>
            <w14:solidFill>
              <w14:schemeClr w14:val="tx1"/>
            </w14:solidFill>
          </w14:textFill>
        </w:rPr>
        <w:t xml:space="preserve"> 县</w:t>
      </w:r>
      <w:r>
        <w:rPr>
          <w:rFonts w:hint="eastAsia" w:ascii="仿宋" w:hAnsi="仿宋" w:eastAsia="仿宋" w:cs="仿宋"/>
          <w:b w:val="0"/>
          <w:bCs w:val="0"/>
          <w:color w:val="000000" w:themeColor="text1"/>
          <w:sz w:val="32"/>
          <w:szCs w:val="32"/>
          <w14:textFill>
            <w14:solidFill>
              <w14:schemeClr w14:val="tx1"/>
            </w14:solidFill>
          </w14:textFill>
        </w:rPr>
        <w:t>级以上人民政府</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负责本行政区域内旅游业的管理、监督和服务工作。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县级以上人民政府其他有关部门应当按照各自职责，做好旅游业相关工作。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第六条</w:t>
      </w:r>
      <w:r>
        <w:rPr>
          <w:rFonts w:hint="eastAsia" w:ascii="仿宋" w:hAnsi="仿宋" w:eastAsia="仿宋" w:cs="仿宋"/>
          <w:color w:val="000000" w:themeColor="text1"/>
          <w:sz w:val="32"/>
          <w:szCs w:val="32"/>
          <w14:textFill>
            <w14:solidFill>
              <w14:schemeClr w14:val="tx1"/>
            </w14:solidFill>
          </w14:textFill>
        </w:rPr>
        <w:t xml:space="preserve"> 各级人民政府应当开展文明旅游宣传教育，提升公众文明出游意识，倡导健康、文明、环保的旅游方式。</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旅游经营者及其从业人员应当向旅游者宣传旅游生态环境保护知识，引导文明旅游。</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鼓励各类社会机构和志愿者开展旅游公益活动。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 w:hAnsi="仿宋" w:eastAsia="仿宋" w:cs="仿宋"/>
          <w:color w:val="000000" w:themeColor="text1"/>
          <w:sz w:val="32"/>
          <w:szCs w:val="32"/>
          <w14:textFill>
            <w14:solidFill>
              <w14:schemeClr w14:val="tx1"/>
            </w14:solidFill>
          </w14:textFill>
        </w:rPr>
        <w:t xml:space="preserve"> 依法成立的旅游行业组织实行自律管理，引导会员诚信经营，维护旅游市场公平竞争秩序和会员的合法权益。</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center"/>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 xml:space="preserve">第二章 </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旅游规划</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 w:hAnsi="仿宋" w:eastAsia="仿宋" w:cs="仿宋"/>
          <w:color w:val="000000" w:themeColor="text1"/>
          <w:sz w:val="32"/>
          <w:szCs w:val="32"/>
          <w14:textFill>
            <w14:solidFill>
              <w14:schemeClr w14:val="tx1"/>
            </w14:solidFill>
          </w14:textFill>
        </w:rPr>
        <w:t xml:space="preserve"> 县级以上人民政府应当因地制宜、科学规划、合理布局，推进全域旅游发展。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仿宋" w:hAnsi="仿宋" w:eastAsia="仿宋" w:cs="仿宋"/>
          <w:b w:val="0"/>
          <w:bCs w:val="0"/>
          <w:color w:val="000000" w:themeColor="text1"/>
          <w:sz w:val="32"/>
          <w:szCs w:val="32"/>
          <w14:textFill>
            <w14:solidFill>
              <w14:schemeClr w14:val="tx1"/>
            </w14:solidFill>
          </w14:textFill>
        </w:rPr>
        <w:t>县级以上人民政府应当组织</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和其他有关部门对本行政区域内的旅游资源进行普查、分类、评价，建立旅游资源数据库和旅游建设项目库。</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第九条</w:t>
      </w:r>
      <w:r>
        <w:rPr>
          <w:rFonts w:hint="eastAsia" w:ascii="仿宋" w:hAnsi="仿宋" w:eastAsia="仿宋" w:cs="仿宋"/>
          <w:b w:val="0"/>
          <w:bCs w:val="0"/>
          <w:color w:val="000000" w:themeColor="text1"/>
          <w:sz w:val="32"/>
          <w:szCs w:val="32"/>
          <w14:textFill>
            <w14:solidFill>
              <w14:schemeClr w14:val="tx1"/>
            </w14:solidFill>
          </w14:textFill>
        </w:rPr>
        <w:t xml:space="preserve"> 自治区人民政府</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组织编制自治区旅游发展规划、跨市县的旅游发展规划以及旅游重大项目专项规划，报自治区人民政府批准后实施。</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val="0"/>
          <w:bCs w:val="0"/>
          <w:color w:val="000000" w:themeColor="text1"/>
          <w:sz w:val="32"/>
          <w:szCs w:val="32"/>
          <w14:textFill>
            <w14:solidFill>
              <w14:schemeClr w14:val="tx1"/>
            </w14:solidFill>
          </w14:textFill>
        </w:rPr>
        <w:t>　　设区的市、县（市、区）人民政府</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组织编制本行政区域旅游发展规划，报本级人民政府批准后实施</w:t>
      </w:r>
      <w:r>
        <w:rPr>
          <w:rFonts w:hint="eastAsia" w:ascii="仿宋" w:hAnsi="仿宋" w:eastAsia="仿宋" w:cs="仿宋"/>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仿宋" w:hAnsi="仿宋" w:eastAsia="仿宋" w:cs="仿宋"/>
          <w:b w:val="0"/>
          <w:bCs w:val="0"/>
          <w:color w:val="000000" w:themeColor="text1"/>
          <w:sz w:val="32"/>
          <w:szCs w:val="32"/>
          <w14:textFill>
            <w14:solidFill>
              <w14:schemeClr w14:val="tx1"/>
            </w14:solidFill>
          </w14:textFill>
        </w:rPr>
        <w:t>设区的市、县（市、区）人民政府旅游发展规划应当报自治区</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备案。</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第十条</w:t>
      </w:r>
      <w:r>
        <w:rPr>
          <w:rFonts w:hint="eastAsia" w:ascii="仿宋" w:hAnsi="仿宋" w:eastAsia="仿宋" w:cs="仿宋"/>
          <w:color w:val="000000" w:themeColor="text1"/>
          <w:sz w:val="32"/>
          <w:szCs w:val="32"/>
          <w14:textFill>
            <w14:solidFill>
              <w14:schemeClr w14:val="tx1"/>
            </w14:solidFill>
          </w14:textFill>
        </w:rPr>
        <w:t xml:space="preserve"> </w:t>
      </w:r>
      <w:r>
        <w:rPr>
          <w:rFonts w:hint="eastAsia" w:ascii="仿宋" w:hAnsi="仿宋" w:eastAsia="仿宋" w:cs="仿宋"/>
          <w:b w:val="0"/>
          <w:bCs w:val="0"/>
          <w:color w:val="000000" w:themeColor="text1"/>
          <w:sz w:val="32"/>
          <w:szCs w:val="32"/>
          <w14:textFill>
            <w14:solidFill>
              <w14:schemeClr w14:val="tx1"/>
            </w14:solidFill>
          </w14:textFill>
        </w:rPr>
        <w:t>编制旅游发展规划应当符合空间规划、国民经济和社会发展规划以及上级人民政府旅游发展规划，与土地利用总体规划、城乡规划、环境保护规划、自然保护区规划、风景名胜区规划、文物保护规划以及其他自然、人文资源的保护利用规划相衔接，并征求上级</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和有关</w:t>
      </w:r>
      <w:r>
        <w:rPr>
          <w:rFonts w:hint="eastAsia" w:ascii="仿宋" w:hAnsi="仿宋" w:eastAsia="仿宋" w:cs="仿宋"/>
          <w:color w:val="000000" w:themeColor="text1"/>
          <w:sz w:val="32"/>
          <w:szCs w:val="32"/>
          <w14:textFill>
            <w14:solidFill>
              <w14:schemeClr w14:val="tx1"/>
            </w14:solidFill>
          </w14:textFill>
        </w:rPr>
        <w:t>主管部门以及社会公众和专家学者的意见。</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第十一条</w:t>
      </w:r>
      <w:r>
        <w:rPr>
          <w:rFonts w:hint="eastAsia" w:ascii="仿宋" w:hAnsi="仿宋" w:eastAsia="仿宋" w:cs="仿宋"/>
          <w:color w:val="000000" w:themeColor="text1"/>
          <w:sz w:val="32"/>
          <w:szCs w:val="32"/>
          <w14:textFill>
            <w14:solidFill>
              <w14:schemeClr w14:val="tx1"/>
            </w14:solidFill>
          </w14:textFill>
        </w:rPr>
        <w:t xml:space="preserve"> </w:t>
      </w:r>
      <w:r>
        <w:rPr>
          <w:rFonts w:hint="eastAsia" w:ascii="仿宋" w:hAnsi="仿宋" w:eastAsia="仿宋" w:cs="仿宋"/>
          <w:b w:val="0"/>
          <w:bCs w:val="0"/>
          <w:color w:val="000000" w:themeColor="text1"/>
          <w:sz w:val="32"/>
          <w:szCs w:val="32"/>
          <w14:textFill>
            <w14:solidFill>
              <w14:schemeClr w14:val="tx1"/>
            </w14:solidFill>
          </w14:textFill>
        </w:rPr>
        <w:t>旅游度假区、特色旅游街区和特色旅游小镇等专项旅游规划由设区的市、县（市、区）</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会同有关部门编制，应当符合旅游发展规划，并征求上级</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意见，由所在地设区的市人民政府批准后实施。</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 w:hAnsi="仿宋" w:eastAsia="仿宋" w:cs="仿宋"/>
          <w:color w:val="000000" w:themeColor="text1"/>
          <w:sz w:val="32"/>
          <w:szCs w:val="32"/>
          <w14:textFill>
            <w14:solidFill>
              <w14:schemeClr w14:val="tx1"/>
            </w14:solidFill>
          </w14:textFill>
        </w:rPr>
        <w:t xml:space="preserve"> </w:t>
      </w:r>
      <w:r>
        <w:rPr>
          <w:rFonts w:hint="eastAsia" w:ascii="仿宋" w:hAnsi="仿宋" w:eastAsia="仿宋" w:cs="仿宋"/>
          <w:b w:val="0"/>
          <w:bCs w:val="0"/>
          <w:color w:val="000000" w:themeColor="text1"/>
          <w:kern w:val="0"/>
          <w:sz w:val="32"/>
          <w:szCs w:val="32"/>
          <w:lang w:val="zh-CN"/>
          <w14:textFill>
            <w14:solidFill>
              <w14:schemeClr w14:val="tx1"/>
            </w14:solidFill>
          </w14:textFill>
        </w:rPr>
        <w:t>自然资源、住房和城乡建设、交通运输、水利、农业农村、文化和旅游、林业和草原等主管部门在编制相关专项规划时，应当兼顾旅游业发展的需要，并征求同级</w:t>
      </w:r>
      <w:r>
        <w:rPr>
          <w:rFonts w:hint="eastAsia" w:ascii="仿宋" w:hAnsi="仿宋" w:eastAsia="仿宋" w:cs="仿宋"/>
          <w:b w:val="0"/>
          <w:bCs w:val="0"/>
          <w:color w:val="000000" w:themeColor="text1"/>
          <w:kern w:val="0"/>
          <w:sz w:val="32"/>
          <w:szCs w:val="32"/>
          <w14:textFill>
            <w14:solidFill>
              <w14:schemeClr w14:val="tx1"/>
            </w14:solidFill>
          </w14:textFill>
        </w:rPr>
        <w:t>文化和旅游主管部门</w:t>
      </w:r>
      <w:r>
        <w:rPr>
          <w:rFonts w:hint="eastAsia" w:ascii="仿宋" w:hAnsi="仿宋" w:eastAsia="仿宋" w:cs="仿宋"/>
          <w:b w:val="0"/>
          <w:bCs w:val="0"/>
          <w:color w:val="000000" w:themeColor="text1"/>
          <w:kern w:val="0"/>
          <w:sz w:val="32"/>
          <w:szCs w:val="32"/>
          <w:lang w:val="zh-CN"/>
          <w14:textFill>
            <w14:solidFill>
              <w14:schemeClr w14:val="tx1"/>
            </w14:solidFill>
          </w14:textFill>
        </w:rPr>
        <w:t>的意见。</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 w:hAnsi="仿宋" w:eastAsia="仿宋" w:cs="仿宋"/>
          <w:color w:val="000000" w:themeColor="text1"/>
          <w:sz w:val="32"/>
          <w:szCs w:val="32"/>
          <w14:textFill>
            <w14:solidFill>
              <w14:schemeClr w14:val="tx1"/>
            </w14:solidFill>
          </w14:textFill>
        </w:rPr>
        <w:t xml:space="preserve"> 经依法批准的旅游规划不得擅自变更。确需变更的，应当经原批准机关同意。</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 w:hAnsi="仿宋" w:eastAsia="仿宋" w:cs="仿宋"/>
          <w:color w:val="000000" w:themeColor="text1"/>
          <w:sz w:val="32"/>
          <w:szCs w:val="32"/>
          <w14:textFill>
            <w14:solidFill>
              <w14:schemeClr w14:val="tx1"/>
            </w14:solidFill>
          </w14:textFill>
        </w:rPr>
        <w:t xml:space="preserve"> 利用自然保护区、森林公园、湿地等自然资源开发旅游项目的，应当符合有关法律法规的规定，并保护自然资源生物多样性和生态系统完整性，保证资源的可持续利用。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利用历史、文化、建筑等人文资源开发旅游项目的，应当保持其民族特色、传统格局和历史风貌。</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利用工业、农业、体育等社会资源开发旅游项目的，应当保持其内容与环境、景观、设施的协调统一。</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开发旅游项目应当符合旅游发展规划和专项旅游规划。</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 w:hAnsi="仿宋" w:eastAsia="仿宋" w:cs="仿宋"/>
          <w:color w:val="000000" w:themeColor="text1"/>
          <w:sz w:val="32"/>
          <w:szCs w:val="32"/>
          <w14:textFill>
            <w14:solidFill>
              <w14:schemeClr w14:val="tx1"/>
            </w14:solidFill>
          </w14:textFill>
        </w:rPr>
        <w:t xml:space="preserve"> 县级以上人民政府负责组织实施旅游发展规划，并对实施情况进行评估，评估结果应当向社会公开。</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center"/>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 xml:space="preserve">第三章 </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旅游促进</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第十六条</w:t>
      </w:r>
      <w:r>
        <w:rPr>
          <w:rFonts w:hint="eastAsia" w:ascii="仿宋" w:hAnsi="仿宋" w:eastAsia="仿宋" w:cs="仿宋"/>
          <w:color w:val="000000" w:themeColor="text1"/>
          <w:sz w:val="32"/>
          <w:szCs w:val="32"/>
          <w14:textFill>
            <w14:solidFill>
              <w14:schemeClr w14:val="tx1"/>
            </w14:solidFill>
          </w14:textFill>
        </w:rPr>
        <w:t xml:space="preserve"> </w:t>
      </w:r>
      <w:r>
        <w:rPr>
          <w:rFonts w:hint="eastAsia" w:ascii="仿宋" w:hAnsi="仿宋" w:eastAsia="仿宋" w:cs="仿宋"/>
          <w:b w:val="0"/>
          <w:bCs w:val="0"/>
          <w:color w:val="000000" w:themeColor="text1"/>
          <w:sz w:val="32"/>
          <w:szCs w:val="32"/>
          <w14:textFill>
            <w14:solidFill>
              <w14:schemeClr w14:val="tx1"/>
            </w14:solidFill>
          </w14:textFill>
        </w:rPr>
        <w:t>县级以上人民政府应当制定并实施促进旅游业与相关产业融合发展的政策措施，支持创新休闲旅游、体验旅游、康养旅游等旅游业态，加强跨区域旅游合作，实现信息互通、资源共享与优势互补。</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b w:val="0"/>
          <w:bCs w:val="0"/>
          <w:color w:val="000000" w:themeColor="text1"/>
          <w:sz w:val="32"/>
          <w:szCs w:val="32"/>
          <w14:textFill>
            <w14:solidFill>
              <w14:schemeClr w14:val="tx1"/>
            </w14:solidFill>
          </w14:textFill>
        </w:rPr>
        <w:t>　　</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应当引导整合旅游资源，开发具有地方特色的主题旅游线路和产品，促进区域旅游联动发展。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 w:hAnsi="仿宋" w:eastAsia="仿宋" w:cs="仿宋"/>
          <w:color w:val="000000" w:themeColor="text1"/>
          <w:sz w:val="32"/>
          <w:szCs w:val="32"/>
          <w14:textFill>
            <w14:solidFill>
              <w14:schemeClr w14:val="tx1"/>
            </w14:solidFill>
          </w14:textFill>
        </w:rPr>
        <w:t xml:space="preserve"> 县级以上人民政府应当加大对旅游基础设施建设、旅游公共服务、旅游形象推广和旅游产业促进的财政扶持力度。</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支持金融机构创新旅游信贷产品和模式，支持符合条件的旅游经营者发行股票、债券等融资产品，引导社会资本投资旅游业。</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支持保险机构创新旅游保险产品和服务。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第十八条</w:t>
      </w:r>
      <w:r>
        <w:rPr>
          <w:rFonts w:hint="eastAsia" w:ascii="仿宋" w:hAnsi="仿宋" w:eastAsia="仿宋" w:cs="仿宋"/>
          <w:color w:val="000000" w:themeColor="text1"/>
          <w:sz w:val="32"/>
          <w:szCs w:val="32"/>
          <w14:textFill>
            <w14:solidFill>
              <w14:schemeClr w14:val="tx1"/>
            </w14:solidFill>
          </w14:textFill>
        </w:rPr>
        <w:t xml:space="preserve"> 县级以上人民政府应当在年度土地供应计划中统筹安排旅游业发展用地，支持全域旅游重大项目开发建设。</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支持依法利用荒地、荒坡、荒滩、废弃矿山矿区等土地开发建设旅游项目。</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第十九条</w:t>
      </w:r>
      <w:r>
        <w:rPr>
          <w:rFonts w:hint="eastAsia" w:ascii="仿宋" w:hAnsi="仿宋" w:eastAsia="仿宋" w:cs="仿宋"/>
          <w:color w:val="000000" w:themeColor="text1"/>
          <w:sz w:val="32"/>
          <w:szCs w:val="32"/>
          <w14:textFill>
            <w14:solidFill>
              <w14:schemeClr w14:val="tx1"/>
            </w14:solidFill>
          </w14:textFill>
        </w:rPr>
        <w:t xml:space="preserve"> 县级以上人民政府应当扶持特色旅游企业，支持具有自主知识产权、自主品牌的旅游企业，鼓励发展旅游专业经营机构，推动组建跨界融合的旅游产业集团和产业联盟。</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和其他有关部门应当为旅游投资者和旅游经营者提供发展政策、建设项目咨询，指导旅游经营者开发旅游资源、提高服务质量和水平。</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第二十条</w:t>
      </w:r>
      <w:r>
        <w:rPr>
          <w:rFonts w:hint="eastAsia" w:ascii="仿宋" w:hAnsi="仿宋" w:eastAsia="仿宋" w:cs="仿宋"/>
          <w:color w:val="000000" w:themeColor="text1"/>
          <w:sz w:val="32"/>
          <w:szCs w:val="32"/>
          <w14:textFill>
            <w14:solidFill>
              <w14:schemeClr w14:val="tx1"/>
            </w14:solidFill>
          </w14:textFill>
        </w:rPr>
        <w:t xml:space="preserve"> 自治区人民政府应当根据全域旅游发展需要，统筹建设以贺兰山东麓、黄河金岸、清水河流域、东部环线和六盘山等旅游风景道为骨架的旅游交通线路。</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县级以上人民政府应当合理布局建设旅游集散中心、旅游停车场、自驾车营地、游客咨询中心、旅游公共厕所、垃圾污水处理等旅游公共服务设施。</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交通运输主管部门应当统筹安排通往旅游景区（点）的交通项目，完善旅游交通道路标识和服务设施。</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第二十一条</w:t>
      </w:r>
      <w:r>
        <w:rPr>
          <w:rFonts w:hint="eastAsia" w:ascii="仿宋" w:hAnsi="仿宋" w:eastAsia="仿宋" w:cs="仿宋"/>
          <w:color w:val="000000" w:themeColor="text1"/>
          <w:sz w:val="32"/>
          <w:szCs w:val="32"/>
          <w14:textFill>
            <w14:solidFill>
              <w14:schemeClr w14:val="tx1"/>
            </w14:solidFill>
          </w14:textFill>
        </w:rPr>
        <w:t xml:space="preserve"> </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应当建立智慧旅游综合信息服务平台，无偿向社会提供旅游景区（点）、线路、交通、气象、食宿、安全、医疗急救、客流量预警等公共信息咨询服务。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val="0"/>
          <w:bCs w:val="0"/>
          <w:color w:val="000000" w:themeColor="text1"/>
          <w:sz w:val="32"/>
          <w:szCs w:val="32"/>
          <w14:textFill>
            <w14:solidFill>
              <w14:schemeClr w14:val="tx1"/>
            </w14:solidFill>
          </w14:textFill>
        </w:rPr>
        <w:t>　　鼓励支持旅游集散地</w:t>
      </w:r>
      <w:r>
        <w:rPr>
          <w:rFonts w:hint="eastAsia" w:ascii="仿宋" w:hAnsi="仿宋" w:eastAsia="仿宋" w:cs="仿宋"/>
          <w:color w:val="000000" w:themeColor="text1"/>
          <w:sz w:val="32"/>
          <w:szCs w:val="32"/>
          <w14:textFill>
            <w14:solidFill>
              <w14:schemeClr w14:val="tx1"/>
            </w14:solidFill>
          </w14:textFill>
        </w:rPr>
        <w:t>、景区提供免费无线局域网接入服务，推动智能导游、电子讲解和信息推送等智慧旅游服务功能建设。</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第二十二条</w:t>
      </w:r>
      <w:r>
        <w:rPr>
          <w:rFonts w:hint="eastAsia" w:ascii="仿宋" w:hAnsi="仿宋" w:eastAsia="仿宋" w:cs="仿宋"/>
          <w:color w:val="000000" w:themeColor="text1"/>
          <w:sz w:val="32"/>
          <w:szCs w:val="32"/>
          <w14:textFill>
            <w14:solidFill>
              <w14:schemeClr w14:val="tx1"/>
            </w14:solidFill>
          </w14:textFill>
        </w:rPr>
        <w:t xml:space="preserve"> 县级以上人民政府应当推动机关、团体、企业事业等单位执行职工带薪年休假制度，支持单位安排错峰休假；鼓励单位调整作息时间，为职工周五下午和周末休闲旅游提供便利。</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在自治区人民政府设立的地方性节假日期间，相关单位可以采取鼓励措施，引导公众出游。</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第二十三条</w:t>
      </w:r>
      <w:r>
        <w:rPr>
          <w:rFonts w:hint="eastAsia" w:ascii="仿宋" w:hAnsi="仿宋" w:eastAsia="仿宋" w:cs="仿宋"/>
          <w:color w:val="000000" w:themeColor="text1"/>
          <w:sz w:val="32"/>
          <w:szCs w:val="32"/>
          <w14:textFill>
            <w14:solidFill>
              <w14:schemeClr w14:val="tx1"/>
            </w14:solidFill>
          </w14:textFill>
        </w:rPr>
        <w:t xml:space="preserve"> 鼓励高等院校、中等职业学校、职业培训机构与旅游经营者开展合作，加强旅游专业建设，发展旅游职业教育，促进旅游人才培养。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县级以上人民政府应当建立旅游人才培养、引进、使用、评价、激励机制，制定旅游人才发展规划，将促进旅游就业纳入就业发展规划和职业培训计划。</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第二十四条</w:t>
      </w:r>
      <w:r>
        <w:rPr>
          <w:rFonts w:hint="eastAsia" w:ascii="仿宋" w:hAnsi="仿宋" w:eastAsia="仿宋" w:cs="仿宋"/>
          <w:color w:val="000000" w:themeColor="text1"/>
          <w:sz w:val="32"/>
          <w:szCs w:val="32"/>
          <w14:textFill>
            <w14:solidFill>
              <w14:schemeClr w14:val="tx1"/>
            </w14:solidFill>
          </w14:textFill>
        </w:rPr>
        <w:t xml:space="preserve"> 鼓励自然人、法人和其他组织采取独资、参股、合作、合资等形式投资开发旅游资源、建设旅游项目和设施，经营旅游业务。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鼓励和支持自然人、法人和其他组织开发具有地方特色、民族特色、旅游景区独特性和文化内涵的旅游纪念品、土特产品、工艺品等旅游商品。</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第二十五条</w:t>
      </w:r>
      <w:r>
        <w:rPr>
          <w:rFonts w:hint="eastAsia" w:ascii="仿宋" w:hAnsi="仿宋" w:eastAsia="仿宋" w:cs="仿宋"/>
          <w:color w:val="000000" w:themeColor="text1"/>
          <w:sz w:val="32"/>
          <w:szCs w:val="32"/>
          <w14:textFill>
            <w14:solidFill>
              <w14:schemeClr w14:val="tx1"/>
            </w14:solidFill>
          </w14:textFill>
        </w:rPr>
        <w:t xml:space="preserve"> 国有旅游资源经营权经批准有偿出让的，应当遵循公平、公正、公开和诚实信用的原则，通过拍卖、招标等方式进行，有偿转让的收入按照国家相关规定管理。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旅游经营者在经营期内未按照旅游发展规划和合同约定对旅游资源进行开发利用，造成旅游资源严重破坏或者长期闲置的，由批准有偿出让的人民政府依法收回国有旅游资源经营权。</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第二十六条</w:t>
      </w:r>
      <w:r>
        <w:rPr>
          <w:rFonts w:hint="eastAsia" w:ascii="仿宋" w:hAnsi="仿宋" w:eastAsia="仿宋" w:cs="仿宋"/>
          <w:color w:val="000000" w:themeColor="text1"/>
          <w:sz w:val="32"/>
          <w:szCs w:val="32"/>
          <w14:textFill>
            <w14:solidFill>
              <w14:schemeClr w14:val="tx1"/>
            </w14:solidFill>
          </w14:textFill>
        </w:rPr>
        <w:t xml:space="preserve"> </w:t>
      </w:r>
      <w:r>
        <w:rPr>
          <w:rFonts w:hint="eastAsia" w:ascii="仿宋" w:hAnsi="仿宋" w:eastAsia="仿宋" w:cs="仿宋"/>
          <w:b w:val="0"/>
          <w:bCs w:val="0"/>
          <w:color w:val="000000" w:themeColor="text1"/>
          <w:sz w:val="32"/>
          <w:szCs w:val="32"/>
          <w14:textFill>
            <w14:solidFill>
              <w14:schemeClr w14:val="tx1"/>
            </w14:solidFill>
          </w14:textFill>
        </w:rPr>
        <w:t>自治区人民政府</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应当统筹组织全区整体旅游形象的推广工作，开展旅游宣传推广和交流合作。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b w:val="0"/>
          <w:bCs w:val="0"/>
          <w:color w:val="000000" w:themeColor="text1"/>
          <w:sz w:val="32"/>
          <w:szCs w:val="32"/>
          <w14:textFill>
            <w14:solidFill>
              <w14:schemeClr w14:val="tx1"/>
            </w14:solidFill>
          </w14:textFill>
        </w:rPr>
        <w:t>　　县级以上人民政府</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应当结合本行政区域的旅游资源，指导旅游营销模式创新，组织推广旅游形象。其他有关部门应当协助</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做好本地区旅游形象的组织推广工作。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第二十七条</w:t>
      </w:r>
      <w:r>
        <w:rPr>
          <w:rFonts w:hint="eastAsia" w:ascii="仿宋" w:hAnsi="仿宋" w:eastAsia="仿宋" w:cs="仿宋"/>
          <w:color w:val="000000" w:themeColor="text1"/>
          <w:sz w:val="32"/>
          <w:szCs w:val="32"/>
          <w14:textFill>
            <w14:solidFill>
              <w14:schemeClr w14:val="tx1"/>
            </w14:solidFill>
          </w14:textFill>
        </w:rPr>
        <w:t xml:space="preserve"> 县级以上人民政府应当推进乡村旅游富民工程和旅游扶贫工程建设，支持自然人、法人和其他组织依法利用乡村旅游资源建设特色旅游小镇，开发农家乐、生态农庄、乡村民宿、民俗村等旅游项目。</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旅游资源丰富的乡镇人民政府应当把乡村旅游发展纳入新农村建设、新型城镇化建设等规划，加强乡村旅游公共服务体系以及配套设施建设。</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县级以上人民政府有关主管部门应当指导、扶持城镇和乡村居民以及其他投资主体利用自有资源、乡村特色资源依法从事乡村旅游经营活动。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center"/>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第四章</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旅游经营与服务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第二十八条</w:t>
      </w:r>
      <w:r>
        <w:rPr>
          <w:rFonts w:hint="eastAsia" w:ascii="仿宋" w:hAnsi="仿宋" w:eastAsia="仿宋" w:cs="仿宋"/>
          <w:color w:val="000000" w:themeColor="text1"/>
          <w:sz w:val="32"/>
          <w:szCs w:val="32"/>
          <w14:textFill>
            <w14:solidFill>
              <w14:schemeClr w14:val="tx1"/>
            </w14:solidFill>
          </w14:textFill>
        </w:rPr>
        <w:t xml:space="preserve"> 旅游经营者应当依法办理注册登记，取得营业执照；经营项目涉及行政许可的，依法取得相应许可证后，方可从事相关业务。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未取得旅行社业务经营许可的，不得从事旅行社业务。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网络旅游经营者应当在其网站主页醒目位置公开营业执照、许可证、支付方式、风险提示等信息。</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第二十九条</w:t>
      </w:r>
      <w:r>
        <w:rPr>
          <w:rFonts w:hint="eastAsia" w:ascii="仿宋" w:hAnsi="仿宋" w:eastAsia="仿宋" w:cs="仿宋"/>
          <w:color w:val="000000" w:themeColor="text1"/>
          <w:sz w:val="32"/>
          <w:szCs w:val="32"/>
          <w14:textFill>
            <w14:solidFill>
              <w14:schemeClr w14:val="tx1"/>
            </w14:solidFill>
          </w14:textFill>
        </w:rPr>
        <w:t xml:space="preserve"> 旅行社与旅游者在旅游合同中约定安排购物场所和付费旅游项目的，应当明示，并遵守下列规定：</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（一）安排的购物场所和付费旅游项目应当是合法营业并且向社会公众开放的；</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（二）向旅游者告知购物场所、付费旅游项目的基本信息，提示可能存在的消费风险；</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（三）不得获取回扣等不正当利益。</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仿宋" w:hAnsi="仿宋" w:eastAsia="仿宋" w:cs="仿宋"/>
          <w:b w:val="0"/>
          <w:bCs w:val="0"/>
          <w:color w:val="000000" w:themeColor="text1"/>
          <w:sz w:val="32"/>
          <w:szCs w:val="32"/>
          <w14:textFill>
            <w14:solidFill>
              <w14:schemeClr w14:val="tx1"/>
            </w14:solidFill>
          </w14:textFill>
        </w:rPr>
        <w:t>购物场所和付费旅游项目的经营者损害旅游者权益行为的，旅行社应当报告</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和行业协会。</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第三十条</w:t>
      </w:r>
      <w:r>
        <w:rPr>
          <w:rFonts w:hint="eastAsia" w:ascii="仿宋" w:hAnsi="仿宋" w:eastAsia="仿宋" w:cs="仿宋"/>
          <w:color w:val="000000" w:themeColor="text1"/>
          <w:sz w:val="32"/>
          <w:szCs w:val="32"/>
          <w14:textFill>
            <w14:solidFill>
              <w14:schemeClr w14:val="tx1"/>
            </w14:solidFill>
          </w14:textFill>
        </w:rPr>
        <w:t xml:space="preserve"> 旅游经营者对在经营活动中知悉的旅游者个人信息，应当依法予以保密。任何单位和个人不得以非法方式获取、使用或者披露。</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第三十一条</w:t>
      </w:r>
      <w:r>
        <w:rPr>
          <w:rFonts w:hint="eastAsia" w:ascii="仿宋" w:hAnsi="仿宋" w:eastAsia="仿宋" w:cs="仿宋"/>
          <w:color w:val="000000" w:themeColor="text1"/>
          <w:sz w:val="32"/>
          <w:szCs w:val="32"/>
          <w14:textFill>
            <w14:solidFill>
              <w14:schemeClr w14:val="tx1"/>
            </w14:solidFill>
          </w14:textFill>
        </w:rPr>
        <w:t xml:space="preserve"> 旅游景区应当按照国家和自治区标准设置供水、</w:t>
      </w:r>
      <w:r>
        <w:rPr>
          <w:rFonts w:hint="eastAsia" w:ascii="仿宋" w:hAnsi="仿宋" w:eastAsia="仿宋" w:cs="仿宋"/>
          <w:b w:val="0"/>
          <w:bCs w:val="0"/>
          <w:color w:val="000000" w:themeColor="text1"/>
          <w:sz w:val="32"/>
          <w:szCs w:val="32"/>
          <w14:textFill>
            <w14:solidFill>
              <w14:schemeClr w14:val="tx1"/>
            </w14:solidFill>
          </w14:textFill>
        </w:rPr>
        <w:t>供电、供气、停车场、厕所、通讯设施、无障碍设施等旅游配套服务和辅助设施，在明显位置设置规范的导向、安全警示标志牌，并公示咨询、投诉和救助的联系方式。</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b w:val="0"/>
          <w:bCs w:val="0"/>
          <w:color w:val="000000" w:themeColor="text1"/>
          <w:sz w:val="32"/>
          <w:szCs w:val="32"/>
          <w14:textFill>
            <w14:solidFill>
              <w14:schemeClr w14:val="tx1"/>
            </w14:solidFill>
          </w14:textFill>
        </w:rPr>
        <w:t>　　旅游景区开放应当符合法律、行政法规规定的条件，并听取</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意见。</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第三十二条</w:t>
      </w:r>
      <w:r>
        <w:rPr>
          <w:rFonts w:hint="eastAsia" w:ascii="仿宋" w:hAnsi="仿宋" w:eastAsia="仿宋" w:cs="仿宋"/>
          <w:color w:val="000000" w:themeColor="text1"/>
          <w:sz w:val="32"/>
          <w:szCs w:val="32"/>
          <w14:textFill>
            <w14:solidFill>
              <w14:schemeClr w14:val="tx1"/>
            </w14:solidFill>
          </w14:textFill>
        </w:rPr>
        <w:t xml:space="preserve"> 利用公共资源建设的旅游景区的门票实行政府定价或者政府指导价，严格控制价格上涨；已收回投资成本的，应当相应降低价格或者取消收费。</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第三十三条</w:t>
      </w:r>
      <w:r>
        <w:rPr>
          <w:rFonts w:hint="eastAsia" w:ascii="仿宋" w:hAnsi="仿宋" w:eastAsia="仿宋" w:cs="仿宋"/>
          <w:color w:val="000000" w:themeColor="text1"/>
          <w:sz w:val="32"/>
          <w:szCs w:val="32"/>
          <w14:textFill>
            <w14:solidFill>
              <w14:schemeClr w14:val="tx1"/>
            </w14:solidFill>
          </w14:textFill>
        </w:rPr>
        <w:t xml:space="preserve"> 旅游经营者和旅游从业人员不得有下列行为：</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（一）出租、出借、转让或者变相转让旅行社业务经营许可证；</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（二）未经旅游者同意转团、并团；</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（三）向旅游者提供虚假旅游信息、发布虚假广告、隐瞒真实情况或者提供质价不符的服务；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（四）索取小费，给予或者收受其他旅游经营者的回扣；</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（五）擅自变更旅游行程安排或者中止旅游服务，拒绝履行合同；</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（六）强行滞留旅游团队，或者中途甩团、甩客；</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（七）以低于成本的价格招徕、组织、接待旅游者或者以其他方式实施价格欺诈；</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（八）向旅游者介绍或者提供含有损害国家利益、民族尊严，违反社会公德，以及民族、宗教歧视等内容的旅游项目；</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（九）法律、法规禁止的其他行为。</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第三十四条</w:t>
      </w:r>
      <w:r>
        <w:rPr>
          <w:rFonts w:hint="eastAsia" w:ascii="仿宋" w:hAnsi="仿宋" w:eastAsia="仿宋" w:cs="仿宋"/>
          <w:color w:val="000000" w:themeColor="text1"/>
          <w:sz w:val="32"/>
          <w:szCs w:val="32"/>
          <w14:textFill>
            <w14:solidFill>
              <w14:schemeClr w14:val="tx1"/>
            </w14:solidFill>
          </w14:textFill>
        </w:rPr>
        <w:t xml:space="preserve"> 旅游景区内禁止下列行为：</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（一）破坏旅游景区景观、植被、地形地貌，破坏、毁损旅游设施或者危害旅游景区环境安全；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（二）在景物上刻划、涂污；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（三）擅自摆摊、圈地、占点；</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（四）纠缠、诱骗、强迫或者变相强迫旅游者购物和接受付费服务；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（五）擅自带入外来物种；</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（六）法律、法规禁止的其他行为。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center"/>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第五章</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旅游安全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第三十五条</w:t>
      </w:r>
      <w:r>
        <w:rPr>
          <w:rFonts w:hint="eastAsia" w:ascii="仿宋" w:hAnsi="仿宋" w:eastAsia="仿宋" w:cs="仿宋"/>
          <w:color w:val="000000" w:themeColor="text1"/>
          <w:sz w:val="32"/>
          <w:szCs w:val="32"/>
          <w14:textFill>
            <w14:solidFill>
              <w14:schemeClr w14:val="tx1"/>
            </w14:solidFill>
          </w14:textFill>
        </w:rPr>
        <w:t xml:space="preserve"> </w:t>
      </w:r>
      <w:r>
        <w:rPr>
          <w:rFonts w:hint="eastAsia" w:ascii="仿宋" w:hAnsi="仿宋" w:eastAsia="仿宋" w:cs="仿宋"/>
          <w:b w:val="0"/>
          <w:bCs w:val="0"/>
          <w:color w:val="000000" w:themeColor="text1"/>
          <w:kern w:val="0"/>
          <w:sz w:val="32"/>
          <w:szCs w:val="32"/>
          <w14:textFill>
            <w14:solidFill>
              <w14:schemeClr w14:val="tx1"/>
            </w14:solidFill>
          </w14:textFill>
        </w:rPr>
        <w:t>县级以上人民政府统一负责本行政区域内的旅游安全工作，建立健全旅游安全责任制。文化和旅游、应急管理、市场监督管理、公安、交通运输、卫生健康等有关主管部门应当依法履行旅游安全监管职责。法律、法规未明确规定安全监督管理部门的，由县级以上人民政府确定。</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val="0"/>
          <w:bCs w:val="0"/>
          <w:color w:val="000000" w:themeColor="text1"/>
          <w:sz w:val="32"/>
          <w:szCs w:val="32"/>
          <w14:textFill>
            <w14:solidFill>
              <w14:schemeClr w14:val="tx1"/>
            </w14:solidFill>
          </w14:textFill>
        </w:rPr>
        <w:t>　　县级以上人民政</w:t>
      </w:r>
      <w:r>
        <w:rPr>
          <w:rFonts w:hint="eastAsia" w:ascii="仿宋" w:hAnsi="仿宋" w:eastAsia="仿宋" w:cs="仿宋"/>
          <w:color w:val="000000" w:themeColor="text1"/>
          <w:sz w:val="32"/>
          <w:szCs w:val="32"/>
          <w14:textFill>
            <w14:solidFill>
              <w14:schemeClr w14:val="tx1"/>
            </w14:solidFill>
          </w14:textFill>
        </w:rPr>
        <w:t>府应当建立旅游景区突发事件、高峰期大客流应对处置机制和旅游安全预警信息发布等制度，并将旅游应急管理纳入政府应急管理体系，制定应急预案。</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第三十六条</w:t>
      </w:r>
      <w:r>
        <w:rPr>
          <w:rFonts w:hint="eastAsia" w:ascii="仿宋" w:hAnsi="仿宋" w:eastAsia="仿宋" w:cs="仿宋"/>
          <w:color w:val="000000" w:themeColor="text1"/>
          <w:sz w:val="32"/>
          <w:szCs w:val="32"/>
          <w14:textFill>
            <w14:solidFill>
              <w14:schemeClr w14:val="tx1"/>
            </w14:solidFill>
          </w14:textFill>
        </w:rPr>
        <w:t xml:space="preserve"> 旅游经营者应当执行安全生产法律、法规、规章和国家有关规定，对旅游安全承担主体责任。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旅游经营者应当建立旅游安全制度，确定负责安全的责任人员，配备必要的安全设备和设施，保障旅游者的人身、财产安全。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发生旅游安全事故时，旅游经营者应当及时采取必要的救助和处置措施，并向事故发生地的人民政府及其有关主管部门报告。事故发生地人民政府及其有关主管部门应当依法启动应急救援预案，及时组织救援。</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第三十七条</w:t>
      </w:r>
      <w:r>
        <w:rPr>
          <w:rFonts w:hint="eastAsia" w:ascii="仿宋" w:hAnsi="仿宋" w:eastAsia="仿宋" w:cs="仿宋"/>
          <w:color w:val="000000" w:themeColor="text1"/>
          <w:sz w:val="32"/>
          <w:szCs w:val="32"/>
          <w14:textFill>
            <w14:solidFill>
              <w14:schemeClr w14:val="tx1"/>
            </w14:solidFill>
          </w14:textFill>
        </w:rPr>
        <w:t xml:space="preserve"> 旅行社组织旅游活动应当对可能危及旅游者人身、财产安全的情况，向旅游者做出真实说明和明确警示，并采取措施，防止危害发生。</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旅行社开展旅游活动租用客运车辆、船舶的，应当选择具有相应资质的运输经营者和驾驶操作人员并签订书面运输合同，明确运输路线、运输价格、运输工具、运输安全的要求以及违约责任等事项。</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第三十八条</w:t>
      </w:r>
      <w:r>
        <w:rPr>
          <w:rFonts w:hint="eastAsia" w:ascii="仿宋" w:hAnsi="仿宋" w:eastAsia="仿宋" w:cs="仿宋"/>
          <w:color w:val="000000" w:themeColor="text1"/>
          <w:sz w:val="32"/>
          <w:szCs w:val="32"/>
          <w14:textFill>
            <w14:solidFill>
              <w14:schemeClr w14:val="tx1"/>
            </w14:solidFill>
          </w14:textFill>
        </w:rPr>
        <w:t xml:space="preserve"> 旅游者应当遵守相关安全警示规定，服从导游和旅游景区工作人员的安全提示。</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任何单位和个人不得在旅游景区禁止通行的区域开展旅游活动。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第三十九条</w:t>
      </w:r>
      <w:r>
        <w:rPr>
          <w:rFonts w:hint="eastAsia" w:ascii="仿宋" w:hAnsi="仿宋" w:eastAsia="仿宋" w:cs="仿宋"/>
          <w:color w:val="000000" w:themeColor="text1"/>
          <w:sz w:val="32"/>
          <w:szCs w:val="32"/>
          <w14:textFill>
            <w14:solidFill>
              <w14:schemeClr w14:val="tx1"/>
            </w14:solidFill>
          </w14:textFill>
        </w:rPr>
        <w:t xml:space="preserve"> 旅行社、住宿、旅游交通和高风险旅游项目经营者应当依法投保责任保险。旅游经营者应当提示旅游者投保人身意外伤害保险。</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center"/>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第六章</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 xml:space="preserve"> 监督管理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第四十条</w:t>
      </w:r>
      <w:r>
        <w:rPr>
          <w:rFonts w:hint="eastAsia" w:ascii="仿宋" w:hAnsi="仿宋" w:eastAsia="仿宋" w:cs="仿宋"/>
          <w:color w:val="000000" w:themeColor="text1"/>
          <w:sz w:val="32"/>
          <w:szCs w:val="32"/>
          <w14:textFill>
            <w14:solidFill>
              <w14:schemeClr w14:val="tx1"/>
            </w14:solidFill>
          </w14:textFill>
        </w:rPr>
        <w:t xml:space="preserve"> 县级以上人民政府应当建立旅游市场综合监管机制。</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应当会同有关主管部门实施旅游市场综合监管，加强对旅游市场的规范管理和旅游服务质量的监督检查，依法查处旅游开发、经营、服务和管理中的违法行为。</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第四十一条</w:t>
      </w:r>
      <w:r>
        <w:rPr>
          <w:rFonts w:hint="eastAsia" w:ascii="仿宋" w:hAnsi="仿宋" w:eastAsia="仿宋" w:cs="仿宋"/>
          <w:color w:val="000000" w:themeColor="text1"/>
          <w:sz w:val="32"/>
          <w:szCs w:val="32"/>
          <w14:textFill>
            <w14:solidFill>
              <w14:schemeClr w14:val="tx1"/>
            </w14:solidFill>
          </w14:textFill>
        </w:rPr>
        <w:t xml:space="preserve"> </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应当做好旅游经营者和从业人员信用信息的采集和分类评定工作，建立信用档案，定期对旅游经营者信用进行评价，并予以公布。</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第四十二条</w:t>
      </w:r>
      <w:r>
        <w:rPr>
          <w:rFonts w:hint="eastAsia" w:ascii="仿宋" w:hAnsi="仿宋" w:eastAsia="仿宋" w:cs="仿宋"/>
          <w:color w:val="000000" w:themeColor="text1"/>
          <w:sz w:val="32"/>
          <w:szCs w:val="32"/>
          <w14:textFill>
            <w14:solidFill>
              <w14:schemeClr w14:val="tx1"/>
            </w14:solidFill>
          </w14:textFill>
        </w:rPr>
        <w:t xml:space="preserve"> 县级以上人民政府应当完善旅游投诉机制，指定或者设立统一的旅游投诉受理机构，公布旅游投诉受理地点、电话、网络地址等信息，受理投诉。</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和有关部门接到旅游投诉后，应当当即作出处理。不能当即处理，属于本部门职责范围的，应当自接到投诉之日起四十日内作出处理；属于其他部门的，应当在三个工作日内移交有关部门处理，并告知投诉</w:t>
      </w:r>
      <w:r>
        <w:rPr>
          <w:rFonts w:hint="eastAsia" w:ascii="仿宋" w:hAnsi="仿宋" w:eastAsia="仿宋" w:cs="仿宋"/>
          <w:color w:val="000000" w:themeColor="text1"/>
          <w:sz w:val="32"/>
          <w:szCs w:val="32"/>
          <w14:textFill>
            <w14:solidFill>
              <w14:schemeClr w14:val="tx1"/>
            </w14:solidFill>
          </w14:textFill>
        </w:rPr>
        <w:t>者。旅游投诉受理机构、受移交部门之间不得相互推诿。</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第四十三条</w:t>
      </w:r>
      <w:r>
        <w:rPr>
          <w:rFonts w:hint="eastAsia" w:ascii="仿宋" w:hAnsi="仿宋" w:eastAsia="仿宋" w:cs="仿宋"/>
          <w:color w:val="000000" w:themeColor="text1"/>
          <w:sz w:val="32"/>
          <w:szCs w:val="32"/>
          <w14:textFill>
            <w14:solidFill>
              <w14:schemeClr w14:val="tx1"/>
            </w14:solidFill>
          </w14:textFill>
        </w:rPr>
        <w:t xml:space="preserve"> 自治区人民政府应当对设区的市和县级人民政府促进旅游业发展工作进行考核。</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县级以上人民政府依法对促进旅游业发展做出突出贡献的单位和个人给予奖励。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center"/>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第七章</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法律责任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第四十四条</w:t>
      </w:r>
      <w:r>
        <w:rPr>
          <w:rFonts w:hint="eastAsia" w:ascii="仿宋" w:hAnsi="仿宋" w:eastAsia="仿宋" w:cs="仿宋"/>
          <w:color w:val="000000" w:themeColor="text1"/>
          <w:sz w:val="32"/>
          <w:szCs w:val="32"/>
          <w14:textFill>
            <w14:solidFill>
              <w14:schemeClr w14:val="tx1"/>
            </w14:solidFill>
          </w14:textFill>
        </w:rPr>
        <w:t xml:space="preserve"> 各级人民政府和县级以上人民政府有关部门的工作人员在旅游监督管理工作中滥用职权、玩忽职守、徇私舞弊的，对直接负责的主管人员和其他直接责任人员依法给予处分；构成犯罪的，依法追究刑事责任。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第四十五条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违反本条例规定，网络旅游经营者未在其网站主</w:t>
      </w:r>
      <w:r>
        <w:rPr>
          <w:rFonts w:hint="eastAsia" w:ascii="仿宋" w:hAnsi="仿宋" w:eastAsia="仿宋" w:cs="仿宋"/>
          <w:b w:val="0"/>
          <w:bCs w:val="0"/>
          <w:color w:val="000000" w:themeColor="text1"/>
          <w:sz w:val="32"/>
          <w:szCs w:val="32"/>
          <w14:textFill>
            <w14:solidFill>
              <w14:schemeClr w14:val="tx1"/>
            </w14:solidFill>
          </w14:textFill>
        </w:rPr>
        <w:t>页醒目位置公开营业执照、许可证、支付方式、风险提示等信息的，由</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责令改正，并处二千元以上二万元以下罚款。</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第四十六条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b w:val="0"/>
          <w:bCs w:val="0"/>
          <w:color w:val="000000" w:themeColor="text1"/>
          <w:sz w:val="32"/>
          <w:szCs w:val="32"/>
          <w14:textFill>
            <w14:solidFill>
              <w14:schemeClr w14:val="tx1"/>
            </w14:solidFill>
          </w14:textFill>
        </w:rPr>
        <w:t>违反本条例规定，旅行社开展旅游活动租用客运车辆、船舶未选择具有相应资质的运输经营者的，由</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责令改正，处一万元以上五万元以下的罚款。</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第四十七条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违反本条例规定，损害旅游者合法权益，造成旅游者人身伤害、财产损失的，依法承担法律责任。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第四十八条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违反本条例规定，旅游者在旅游过程中，扰乱社会秩序、妨害公共安全，构成治安管理处罚行为的，由公安机关依法处罚；造成旅游资源破坏、旅游服务设施损坏的，依法承担赔偿责任。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第四十九条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违反本条例规定，开发利</w:t>
      </w:r>
      <w:r>
        <w:rPr>
          <w:rFonts w:hint="eastAsia" w:ascii="仿宋" w:hAnsi="仿宋" w:eastAsia="仿宋" w:cs="仿宋"/>
          <w:b w:val="0"/>
          <w:bCs w:val="0"/>
          <w:color w:val="000000" w:themeColor="text1"/>
          <w:sz w:val="32"/>
          <w:szCs w:val="32"/>
          <w14:textFill>
            <w14:solidFill>
              <w14:schemeClr w14:val="tx1"/>
            </w14:solidFill>
          </w14:textFill>
        </w:rPr>
        <w:t>用旅游资源未采取保护措施，造成生态环境或者人文资源破坏的，由</w:t>
      </w:r>
      <w:r>
        <w:rPr>
          <w:rFonts w:hint="eastAsia" w:ascii="仿宋" w:hAnsi="仿宋" w:eastAsia="仿宋" w:cs="仿宋"/>
          <w:b w:val="0"/>
          <w:bCs w:val="0"/>
          <w:color w:val="000000" w:themeColor="text1"/>
          <w:kern w:val="0"/>
          <w:sz w:val="32"/>
          <w:szCs w:val="32"/>
          <w:lang w:val="zh-CN"/>
          <w14:textFill>
            <w14:solidFill>
              <w14:schemeClr w14:val="tx1"/>
            </w14:solidFill>
          </w14:textFill>
        </w:rPr>
        <w:t>文化和旅游主管部门</w:t>
      </w:r>
      <w:r>
        <w:rPr>
          <w:rFonts w:hint="eastAsia" w:ascii="仿宋" w:hAnsi="仿宋" w:eastAsia="仿宋" w:cs="仿宋"/>
          <w:b w:val="0"/>
          <w:bCs w:val="0"/>
          <w:color w:val="000000" w:themeColor="text1"/>
          <w:sz w:val="32"/>
          <w:szCs w:val="32"/>
          <w14:textFill>
            <w14:solidFill>
              <w14:schemeClr w14:val="tx1"/>
            </w14:solidFill>
          </w14:textFill>
        </w:rPr>
        <w:t>或者其他有关主管部门依据职责责令停止违法行</w:t>
      </w:r>
      <w:r>
        <w:rPr>
          <w:rFonts w:hint="eastAsia" w:ascii="仿宋" w:hAnsi="仿宋" w:eastAsia="仿宋" w:cs="仿宋"/>
          <w:color w:val="000000" w:themeColor="text1"/>
          <w:sz w:val="32"/>
          <w:szCs w:val="32"/>
          <w14:textFill>
            <w14:solidFill>
              <w14:schemeClr w14:val="tx1"/>
            </w14:solidFill>
          </w14:textFill>
        </w:rPr>
        <w:t>为，恢复原状，依法予以处罚；构成犯罪的，依法追究刑事责任。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第五十条</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违反本条例规定的行为，本条例未规定处罚，但法律、法规已有处罚规定的，从其规定。</w:t>
      </w:r>
    </w:p>
    <w:p>
      <w:pPr>
        <w:keepNext w:val="0"/>
        <w:keepLines w:val="0"/>
        <w:pageBreakBefore w:val="0"/>
        <w:widowControl w:val="0"/>
        <w:numPr>
          <w:ilvl w:val="0"/>
          <w:numId w:val="1"/>
        </w:numPr>
        <w:kinsoku/>
        <w:wordWrap/>
        <w:overflowPunct/>
        <w:topLinePunct w:val="0"/>
        <w:autoSpaceDE/>
        <w:autoSpaceDN/>
        <w:bidi w:val="0"/>
        <w:adjustRightInd/>
        <w:snapToGrid w:val="0"/>
        <w:spacing w:line="640" w:lineRule="exact"/>
        <w:ind w:left="0" w:leftChars="0" w:right="0" w:rightChars="0" w:firstLine="0" w:firstLineChars="0"/>
        <w:jc w:val="center"/>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附则</w:t>
      </w:r>
    </w:p>
    <w:p>
      <w:pPr>
        <w:keepNext w:val="0"/>
        <w:keepLines w:val="0"/>
        <w:pageBreakBefore w:val="0"/>
        <w:widowControl w:val="0"/>
        <w:numPr>
          <w:ilvl w:val="0"/>
          <w:numId w:val="0"/>
        </w:numPr>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第五十一条</w:t>
      </w:r>
      <w:r>
        <w:rPr>
          <w:rFonts w:hint="eastAsia" w:ascii="仿宋" w:hAnsi="仿宋" w:eastAsia="仿宋" w:cs="仿宋"/>
          <w:color w:val="000000" w:themeColor="text1"/>
          <w:sz w:val="32"/>
          <w:szCs w:val="32"/>
          <w14:textFill>
            <w14:solidFill>
              <w14:schemeClr w14:val="tx1"/>
            </w14:solidFill>
          </w14:textFill>
        </w:rPr>
        <w:t xml:space="preserve"> 本条例自2017年11月1日起施行。2007年3月29日自治区第九届人民代表大会常务委员会第二十七次会议通过的《宁夏回族自治区旅游条例》同时废止。</w:t>
      </w:r>
    </w:p>
    <w:p>
      <w:pPr>
        <w:pStyle w:val="2"/>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pStyle w:val="2"/>
        <w:rPr>
          <w:rFonts w:hint="eastAsia"/>
          <w:color w:val="000000" w:themeColor="text1"/>
          <w14:textFill>
            <w14:solidFill>
              <w14:schemeClr w14:val="tx1"/>
            </w14:solidFill>
          </w14:textFill>
        </w:rPr>
      </w:pPr>
      <w:bookmarkStart w:id="0" w:name="_GoBack"/>
      <w:bookmarkEnd w:id="0"/>
    </w:p>
    <w:sectPr>
      <w:headerReference r:id="rId3" w:type="default"/>
      <w:footerReference r:id="rId4" w:type="default"/>
      <w:pgSz w:w="11906" w:h="16838"/>
      <w:pgMar w:top="1984" w:right="1587" w:bottom="1474" w:left="1587" w:header="851" w:footer="113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8"/>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寰蒋闆呴粦">
    <w:altName w:val="Latha"/>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Latha">
    <w:panose1 w:val="020B0604020202020204"/>
    <w:charset w:val="00"/>
    <w:family w:val="auto"/>
    <w:pitch w:val="default"/>
    <w:sig w:usb0="00100003" w:usb1="00000000" w:usb2="00000000" w:usb3="00000000" w:csb0="00000001" w:csb1="00000000"/>
  </w:font>
  <w:font w:name="方正小标宋简体">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方正小标宋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锟斤拷锟斤拷">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方正楷体_GBK">
    <w:panose1 w:val="03000509000000000000"/>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经典中宋繁">
    <w:altName w:val="宋体"/>
    <w:panose1 w:val="02010609000101010101"/>
    <w:charset w:val="86"/>
    <w:family w:val="auto"/>
    <w:pitch w:val="default"/>
    <w:sig w:usb0="00000000" w:usb1="00000000" w:usb2="0000001E" w:usb3="00000000" w:csb0="20040000" w:csb1="00000000"/>
  </w:font>
  <w:font w:name="经典中圆繁">
    <w:altName w:val="宋体"/>
    <w:panose1 w:val="02010609000101010101"/>
    <w:charset w:val="86"/>
    <w:family w:val="auto"/>
    <w:pitch w:val="default"/>
    <w:sig w:usb0="00000000" w:usb1="00000000" w:usb2="0000001E" w:usb3="00000000" w:csb0="20040000" w:csb1="00000000"/>
  </w:font>
  <w:font w:name="经典中圆简">
    <w:altName w:val="宋体"/>
    <w:panose1 w:val="02010609000101010101"/>
    <w:charset w:val="86"/>
    <w:family w:val="auto"/>
    <w:pitch w:val="default"/>
    <w:sig w:usb0="00000000" w:usb1="00000000" w:usb2="0000001E" w:usb3="00000000" w:csb0="20040000" w:csb1="00000000"/>
  </w:font>
  <w:font w:name="方正粗黑宋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6304869">
    <w:nsid w:val="5FBE4465"/>
    <w:multiLevelType w:val="singleLevel"/>
    <w:tmpl w:val="5FBE4465"/>
    <w:lvl w:ilvl="0" w:tentative="1">
      <w:start w:val="8"/>
      <w:numFmt w:val="chineseCounting"/>
      <w:suff w:val="space"/>
      <w:lvlText w:val="第%1章"/>
      <w:lvlJc w:val="left"/>
    </w:lvl>
  </w:abstractNum>
  <w:num w:numId="1">
    <w:abstractNumId w:val="16063048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00047"/>
    <w:rsid w:val="02F26E66"/>
    <w:rsid w:val="06551AFF"/>
    <w:rsid w:val="06AF0786"/>
    <w:rsid w:val="0A324FD8"/>
    <w:rsid w:val="0FEA3C4C"/>
    <w:rsid w:val="19EF64F7"/>
    <w:rsid w:val="2BFC75EA"/>
    <w:rsid w:val="2CCB29E6"/>
    <w:rsid w:val="31C16382"/>
    <w:rsid w:val="3B415D10"/>
    <w:rsid w:val="4D90083A"/>
    <w:rsid w:val="4ECF6CFB"/>
    <w:rsid w:val="51A65FA7"/>
    <w:rsid w:val="550859DF"/>
    <w:rsid w:val="5B5F4C86"/>
    <w:rsid w:val="5C551B35"/>
    <w:rsid w:val="62E21F1B"/>
    <w:rsid w:val="67C513A3"/>
    <w:rsid w:val="68E90F94"/>
    <w:rsid w:val="6DE61BB3"/>
    <w:rsid w:val="7182253D"/>
    <w:rsid w:val="7C2B375B"/>
    <w:rsid w:val="7DE603ED"/>
    <w:rsid w:val="7F317AE9"/>
    <w:rsid w:val="7FF542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uiPriority w:val="0"/>
    <w:pPr>
      <w:ind w:firstLine="200" w:firstLineChars="200"/>
    </w:pPr>
    <w:rPr>
      <w:rFonts w:ascii="Times New Roman" w:hAnsi="Times New Roman"/>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2020-03-19T10:07:00Z</dcterms:created>
  <dc:creator>Administrator</dc:creator>
  <cp:lastModifiedBy>Administrator</cp:lastModifiedBy>
  <cp:lastPrinted>2020-11-25T12:50:00Z</cp:lastPrinted>
  <dcterms:modified xsi:type="dcterms:W3CDTF">2020-11-25T13:14:49Z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