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pacing w:val="0"/>
          <w:w w:val="100"/>
          <w:sz w:val="32"/>
          <w:szCs w:val="32"/>
        </w:rPr>
      </w:pP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pacing w:val="0"/>
          <w:w w:val="100"/>
          <w:sz w:val="32"/>
          <w:szCs w:val="32"/>
        </w:rPr>
      </w:pP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pacing w:val="0"/>
          <w:w w:val="100"/>
          <w:sz w:val="32"/>
          <w:szCs w:val="32"/>
        </w:rPr>
      </w:pP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pacing w:val="0"/>
          <w:w w:val="100"/>
          <w:sz w:val="44"/>
          <w:szCs w:val="44"/>
        </w:rPr>
      </w:pPr>
      <w:r>
        <w:rPr>
          <w:rFonts w:hint="eastAsia" w:asciiTheme="majorEastAsia" w:hAnsiTheme="majorEastAsia" w:eastAsiaTheme="majorEastAsia" w:cstheme="majorEastAsia"/>
          <w:color w:val="000000"/>
          <w:spacing w:val="0"/>
          <w:w w:val="100"/>
          <w:sz w:val="44"/>
          <w:szCs w:val="44"/>
        </w:rPr>
        <w:t>宁夏回族自治区环境教育条例</w:t>
      </w:r>
    </w:p>
    <w:p>
      <w:pPr>
        <w:pStyle w:val="11"/>
        <w:keepNext w:val="0"/>
        <w:keepLines w:val="0"/>
        <w:pageBreakBefore w:val="0"/>
        <w:widowControl/>
        <w:kinsoku/>
        <w:wordWrap/>
        <w:overflowPunct/>
        <w:topLinePunct w:val="0"/>
        <w:autoSpaceDE/>
        <w:autoSpaceDN/>
        <w:bidi w:val="0"/>
        <w:adjustRightInd/>
        <w:snapToGrid w:val="0"/>
        <w:spacing w:before="0" w:beforeAutospacing="0" w:after="0" w:afterAutospacing="0" w:line="240" w:lineRule="auto"/>
        <w:ind w:left="0" w:leftChars="0" w:right="0" w:rightChars="0" w:firstLine="0" w:firstLineChars="0"/>
        <w:jc w:val="center"/>
        <w:textAlignment w:val="auto"/>
        <w:outlineLvl w:val="9"/>
        <w:rPr>
          <w:rFonts w:hint="eastAsia" w:asciiTheme="majorEastAsia" w:hAnsiTheme="majorEastAsia" w:eastAsiaTheme="majorEastAsia" w:cstheme="majorEastAsia"/>
          <w:color w:val="000000"/>
          <w:spacing w:val="0"/>
          <w:w w:val="100"/>
          <w:sz w:val="44"/>
          <w:szCs w:val="44"/>
        </w:rPr>
      </w:pPr>
    </w:p>
    <w:p>
      <w:pPr>
        <w:keepNext w:val="0"/>
        <w:keepLines w:val="0"/>
        <w:pageBreakBefore w:val="0"/>
        <w:widowControl w:val="0"/>
        <w:kinsoku/>
        <w:wordWrap/>
        <w:overflowPunct/>
        <w:topLinePunct w:val="0"/>
        <w:autoSpaceDE/>
        <w:autoSpaceDN/>
        <w:bidi w:val="0"/>
        <w:adjustRightInd w:val="0"/>
        <w:snapToGrid w:val="0"/>
        <w:spacing w:line="520" w:lineRule="exact"/>
        <w:ind w:left="634" w:leftChars="302" w:right="750" w:rightChars="357" w:firstLine="4" w:firstLineChars="0"/>
        <w:jc w:val="distribute"/>
        <w:textAlignment w:val="auto"/>
        <w:outlineLvl w:val="9"/>
        <w:rPr>
          <w:rFonts w:hint="eastAsia" w:ascii="楷体" w:hAnsi="楷体" w:eastAsia="楷体" w:cs="楷体"/>
          <w:color w:val="000000"/>
          <w:spacing w:val="0"/>
          <w:w w:val="100"/>
          <w:sz w:val="32"/>
          <w:szCs w:val="32"/>
          <w:lang w:eastAsia="zh-CN"/>
        </w:rPr>
      </w:pPr>
      <w:r>
        <w:rPr>
          <w:rFonts w:hint="eastAsia" w:ascii="楷体" w:hAnsi="楷体" w:eastAsia="楷体" w:cs="楷体"/>
          <w:color w:val="000000"/>
          <w:spacing w:val="0"/>
          <w:w w:val="100"/>
          <w:sz w:val="32"/>
          <w:szCs w:val="32"/>
        </w:rPr>
        <w:t>（2011年12月1日宁夏回族自治区第十届人民代表大会常务委员会第二十七次会议通过</w:t>
      </w:r>
      <w:r>
        <w:rPr>
          <w:rFonts w:hint="eastAsia" w:ascii="楷体" w:hAnsi="楷体" w:eastAsia="楷体" w:cs="楷体"/>
          <w:color w:val="000000"/>
          <w:spacing w:val="0"/>
          <w:w w:val="100"/>
          <w:sz w:val="32"/>
          <w:szCs w:val="32"/>
          <w:lang w:val="en-US" w:eastAsia="zh-CN"/>
        </w:rPr>
        <w:t xml:space="preserve">  根据</w:t>
      </w:r>
      <w:r>
        <w:rPr>
          <w:rFonts w:hint="eastAsia" w:ascii="楷体" w:hAnsi="楷体" w:eastAsia="楷体" w:cs="楷体"/>
          <w:color w:val="000000"/>
          <w:spacing w:val="0"/>
          <w:w w:val="100"/>
          <w:sz w:val="32"/>
          <w:szCs w:val="32"/>
        </w:rPr>
        <w:t>201</w:t>
      </w:r>
      <w:r>
        <w:rPr>
          <w:rFonts w:hint="eastAsia" w:ascii="楷体" w:hAnsi="楷体" w:eastAsia="楷体" w:cs="楷体"/>
          <w:color w:val="000000"/>
          <w:spacing w:val="0"/>
          <w:w w:val="100"/>
          <w:sz w:val="32"/>
          <w:szCs w:val="32"/>
          <w:lang w:val="en-US" w:eastAsia="zh-CN"/>
        </w:rPr>
        <w:t>9</w:t>
      </w:r>
      <w:r>
        <w:rPr>
          <w:rFonts w:hint="eastAsia" w:ascii="楷体" w:hAnsi="楷体" w:eastAsia="楷体" w:cs="楷体"/>
          <w:color w:val="000000"/>
          <w:spacing w:val="0"/>
          <w:w w:val="100"/>
          <w:sz w:val="32"/>
          <w:szCs w:val="32"/>
        </w:rPr>
        <w:t>年</w:t>
      </w:r>
      <w:r>
        <w:rPr>
          <w:rFonts w:hint="eastAsia" w:ascii="楷体" w:hAnsi="楷体" w:eastAsia="楷体" w:cs="楷体"/>
          <w:color w:val="000000"/>
          <w:spacing w:val="0"/>
          <w:w w:val="100"/>
          <w:sz w:val="32"/>
          <w:szCs w:val="32"/>
          <w:lang w:val="en-US" w:eastAsia="zh-CN"/>
        </w:rPr>
        <w:t>3</w:t>
      </w:r>
      <w:r>
        <w:rPr>
          <w:rFonts w:hint="eastAsia" w:ascii="楷体" w:hAnsi="楷体" w:eastAsia="楷体" w:cs="楷体"/>
          <w:color w:val="000000"/>
          <w:spacing w:val="0"/>
          <w:w w:val="100"/>
          <w:sz w:val="32"/>
          <w:szCs w:val="32"/>
        </w:rPr>
        <w:t>月</w:t>
      </w:r>
      <w:r>
        <w:rPr>
          <w:rFonts w:hint="eastAsia" w:ascii="楷体" w:hAnsi="楷体" w:eastAsia="楷体" w:cs="楷体"/>
          <w:color w:val="000000"/>
          <w:spacing w:val="0"/>
          <w:w w:val="100"/>
          <w:sz w:val="32"/>
          <w:szCs w:val="32"/>
          <w:lang w:val="en-US" w:eastAsia="zh-CN"/>
        </w:rPr>
        <w:t>26</w:t>
      </w:r>
      <w:r>
        <w:rPr>
          <w:rFonts w:hint="eastAsia" w:ascii="楷体" w:hAnsi="楷体" w:eastAsia="楷体" w:cs="楷体"/>
          <w:color w:val="000000"/>
          <w:spacing w:val="0"/>
          <w:w w:val="100"/>
          <w:sz w:val="32"/>
          <w:szCs w:val="32"/>
        </w:rPr>
        <w:t>日</w:t>
      </w:r>
      <w:r>
        <w:rPr>
          <w:rFonts w:hint="eastAsia" w:ascii="楷体" w:hAnsi="楷体" w:eastAsia="楷体" w:cs="楷体"/>
          <w:color w:val="000000"/>
          <w:spacing w:val="0"/>
          <w:w w:val="100"/>
          <w:sz w:val="32"/>
          <w:szCs w:val="32"/>
          <w:lang w:eastAsia="zh-CN"/>
        </w:rPr>
        <w:t>宁夏回族自治区</w:t>
      </w:r>
      <w:r>
        <w:rPr>
          <w:rFonts w:hint="eastAsia" w:ascii="楷体" w:hAnsi="楷体" w:eastAsia="楷体" w:cs="楷体"/>
          <w:color w:val="000000"/>
          <w:spacing w:val="0"/>
          <w:w w:val="100"/>
          <w:sz w:val="32"/>
          <w:szCs w:val="32"/>
        </w:rPr>
        <w:t>第十</w:t>
      </w:r>
      <w:r>
        <w:rPr>
          <w:rFonts w:hint="eastAsia" w:ascii="楷体" w:hAnsi="楷体" w:eastAsia="楷体" w:cs="楷体"/>
          <w:color w:val="000000"/>
          <w:spacing w:val="0"/>
          <w:w w:val="100"/>
          <w:sz w:val="32"/>
          <w:szCs w:val="32"/>
          <w:lang w:eastAsia="zh-CN"/>
        </w:rPr>
        <w:t>二</w:t>
      </w:r>
      <w:r>
        <w:rPr>
          <w:rFonts w:hint="eastAsia" w:ascii="楷体" w:hAnsi="楷体" w:eastAsia="楷体" w:cs="楷体"/>
          <w:color w:val="000000"/>
          <w:spacing w:val="0"/>
          <w:w w:val="100"/>
          <w:sz w:val="32"/>
          <w:szCs w:val="32"/>
        </w:rPr>
        <w:t>届人民代表大会常务委员会第</w:t>
      </w:r>
      <w:r>
        <w:rPr>
          <w:rFonts w:hint="eastAsia" w:ascii="楷体" w:hAnsi="楷体" w:eastAsia="楷体" w:cs="楷体"/>
          <w:color w:val="000000"/>
          <w:spacing w:val="0"/>
          <w:w w:val="100"/>
          <w:sz w:val="32"/>
          <w:szCs w:val="32"/>
          <w:lang w:eastAsia="zh-CN"/>
        </w:rPr>
        <w:t>十一</w:t>
      </w:r>
      <w:r>
        <w:rPr>
          <w:rFonts w:hint="eastAsia" w:ascii="楷体" w:hAnsi="楷体" w:eastAsia="楷体" w:cs="楷体"/>
          <w:color w:val="000000"/>
          <w:spacing w:val="0"/>
          <w:w w:val="100"/>
          <w:sz w:val="32"/>
          <w:szCs w:val="32"/>
        </w:rPr>
        <w:t>次会</w:t>
      </w:r>
      <w:r>
        <w:rPr>
          <w:rFonts w:hint="eastAsia" w:ascii="楷体" w:hAnsi="楷体" w:eastAsia="楷体" w:cs="楷体"/>
          <w:color w:val="000000"/>
          <w:spacing w:val="0"/>
          <w:w w:val="100"/>
          <w:sz w:val="32"/>
          <w:szCs w:val="32"/>
          <w:lang w:eastAsia="zh-CN"/>
        </w:rPr>
        <w:t>议《</w:t>
      </w:r>
      <w:r>
        <w:rPr>
          <w:rFonts w:hint="eastAsia" w:ascii="楷体" w:hAnsi="楷体" w:eastAsia="楷体" w:cs="楷体"/>
          <w:color w:val="000000"/>
          <w:spacing w:val="0"/>
          <w:w w:val="100"/>
          <w:sz w:val="32"/>
          <w:szCs w:val="32"/>
          <w:lang w:val="en-US" w:eastAsia="zh-CN"/>
        </w:rPr>
        <w:t>关于修改〈宁夏回族自治区商品交易市场管理条例〉等十八件</w:t>
      </w:r>
      <w:r>
        <w:rPr>
          <w:rFonts w:hint="eastAsia" w:ascii="楷体" w:hAnsi="楷体" w:eastAsia="楷体" w:cs="楷体"/>
          <w:color w:val="000000"/>
          <w:spacing w:val="17"/>
          <w:w w:val="100"/>
          <w:sz w:val="32"/>
          <w:szCs w:val="32"/>
          <w:lang w:val="en-US" w:eastAsia="zh-CN"/>
        </w:rPr>
        <w:t>地方性法规的决定</w:t>
      </w:r>
      <w:r>
        <w:rPr>
          <w:rFonts w:hint="eastAsia" w:ascii="楷体" w:hAnsi="楷体" w:eastAsia="楷体" w:cs="楷体"/>
          <w:color w:val="000000"/>
          <w:spacing w:val="0"/>
          <w:w w:val="1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20" w:lineRule="exact"/>
        <w:ind w:left="634" w:leftChars="302" w:right="750" w:rightChars="357" w:firstLine="4" w:firstLineChars="0"/>
        <w:jc w:val="both"/>
        <w:textAlignment w:val="auto"/>
        <w:outlineLvl w:val="9"/>
        <w:rPr>
          <w:rFonts w:hint="eastAsia" w:ascii="楷体" w:hAnsi="楷体" w:eastAsia="楷体" w:cs="楷体"/>
          <w:color w:val="000000"/>
          <w:spacing w:val="0"/>
          <w:w w:val="100"/>
          <w:sz w:val="32"/>
          <w:szCs w:val="32"/>
        </w:rPr>
      </w:pPr>
      <w:r>
        <w:rPr>
          <w:rFonts w:hint="eastAsia" w:ascii="楷体" w:hAnsi="楷体" w:eastAsia="楷体" w:cs="楷体"/>
          <w:color w:val="000000"/>
          <w:spacing w:val="0"/>
          <w:w w:val="100"/>
          <w:sz w:val="32"/>
          <w:szCs w:val="32"/>
          <w:lang w:eastAsia="zh-CN"/>
        </w:rPr>
        <w:t>修正</w:t>
      </w:r>
      <w:r>
        <w:rPr>
          <w:rFonts w:hint="eastAsia" w:ascii="楷体" w:hAnsi="楷体" w:eastAsia="楷体" w:cs="楷体"/>
          <w:color w:val="000000"/>
          <w:spacing w:val="0"/>
          <w:w w:val="100"/>
          <w:sz w:val="32"/>
          <w:szCs w:val="32"/>
          <w:lang w:val="en-US" w:eastAsia="zh-CN"/>
        </w:rPr>
        <w:t xml:space="preserve">  根据2021年3月26日宁夏回族自治区第十二届人民代表大会常务委员会第二十五次会议</w:t>
      </w:r>
      <w:r>
        <w:rPr>
          <w:rFonts w:hint="eastAsia" w:ascii="楷体" w:hAnsi="楷体" w:eastAsia="楷体" w:cs="楷体"/>
          <w:color w:val="000000" w:themeColor="text1"/>
          <w:spacing w:val="0"/>
          <w:w w:val="100"/>
          <w:sz w:val="32"/>
          <w:szCs w:val="32"/>
          <w:lang w:val="en-US" w:eastAsia="zh-CN"/>
          <w14:textFill>
            <w14:solidFill>
              <w14:schemeClr w14:val="tx1"/>
            </w14:solidFill>
          </w14:textFill>
        </w:rPr>
        <w:t>《关于修改〈宁夏回族自治区禁毒条例〉等七件地方性法规的决定》</w:t>
      </w:r>
      <w:r>
        <w:rPr>
          <w:rFonts w:hint="eastAsia" w:ascii="楷体" w:hAnsi="楷体" w:eastAsia="楷体" w:cs="楷体"/>
          <w:color w:val="auto"/>
          <w:spacing w:val="0"/>
          <w:w w:val="100"/>
          <w:sz w:val="32"/>
          <w:szCs w:val="32"/>
          <w:lang w:val="en-US" w:eastAsia="zh-CN"/>
        </w:rPr>
        <w:t>第二次</w:t>
      </w:r>
      <w:r>
        <w:rPr>
          <w:rFonts w:hint="eastAsia" w:ascii="楷体" w:hAnsi="楷体" w:eastAsia="楷体" w:cs="楷体"/>
          <w:color w:val="000000"/>
          <w:spacing w:val="0"/>
          <w:w w:val="100"/>
          <w:sz w:val="32"/>
          <w:szCs w:val="32"/>
          <w:lang w:val="en-US" w:eastAsia="zh-CN"/>
        </w:rPr>
        <w:t>修正）</w:t>
      </w:r>
    </w:p>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仿宋_GB2312" w:hAnsi="仿宋_GB2312"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楷体_GB2312" w:hAnsi="楷体_GB2312" w:eastAsia="楷体_GB2312" w:cs="楷体_GB2312"/>
          <w:color w:val="000000"/>
          <w:spacing w:val="0"/>
          <w:w w:val="100"/>
          <w:sz w:val="32"/>
          <w:szCs w:val="32"/>
          <w:lang w:eastAsia="zh-CN"/>
        </w:rPr>
      </w:pPr>
      <w:r>
        <w:rPr>
          <w:rFonts w:hint="eastAsia" w:ascii="楷体_GB2312" w:hAnsi="楷体_GB2312" w:eastAsia="楷体_GB2312" w:cs="楷体_GB2312"/>
          <w:color w:val="000000"/>
          <w:spacing w:val="0"/>
          <w:w w:val="100"/>
          <w:sz w:val="32"/>
          <w:szCs w:val="32"/>
          <w:lang w:eastAsia="zh-CN"/>
        </w:rPr>
        <w:t>目</w:t>
      </w:r>
      <w:r>
        <w:rPr>
          <w:rFonts w:hint="eastAsia" w:ascii="楷体_GB2312" w:hAnsi="楷体_GB2312" w:eastAsia="楷体_GB2312" w:cs="楷体_GB2312"/>
          <w:color w:val="000000"/>
          <w:spacing w:val="0"/>
          <w:w w:val="100"/>
          <w:sz w:val="32"/>
          <w:szCs w:val="32"/>
          <w:lang w:val="en-US" w:eastAsia="zh-CN"/>
        </w:rPr>
        <w:t xml:space="preserve">    </w:t>
      </w:r>
      <w:r>
        <w:rPr>
          <w:rFonts w:hint="eastAsia" w:ascii="楷体_GB2312" w:hAnsi="楷体_GB2312" w:eastAsia="楷体_GB2312" w:cs="楷体_GB2312"/>
          <w:color w:val="000000"/>
          <w:spacing w:val="0"/>
          <w:w w:val="100"/>
          <w:sz w:val="32"/>
          <w:szCs w:val="32"/>
          <w:lang w:eastAsia="zh-CN"/>
        </w:rPr>
        <w:t>录</w:t>
      </w:r>
    </w:p>
    <w:p>
      <w:pPr>
        <w:keepNext w:val="0"/>
        <w:keepLines w:val="0"/>
        <w:pageBreakBefore w:val="0"/>
        <w:widowControl w:val="0"/>
        <w:numPr>
          <w:ilvl w:val="0"/>
          <w:numId w:val="0"/>
        </w:numPr>
        <w:tabs>
          <w:tab w:val="left" w:pos="0"/>
        </w:tabs>
        <w:kinsoku/>
        <w:wordWrap/>
        <w:overflowPunct/>
        <w:topLinePunct w:val="0"/>
        <w:autoSpaceDE/>
        <w:autoSpaceDN/>
        <w:bidi w:val="0"/>
        <w:adjustRightInd/>
        <w:snapToGrid w:val="0"/>
        <w:spacing w:line="540" w:lineRule="exact"/>
        <w:ind w:left="0" w:leftChars="0" w:right="0" w:rightChars="0" w:firstLine="636" w:firstLineChars="199"/>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rPr>
        <w:t>第一章</w:t>
      </w:r>
      <w:r>
        <w:rPr>
          <w:rFonts w:hint="eastAsia" w:ascii="楷体_GB2312" w:hAnsi="楷体_GB2312" w:eastAsia="楷体_GB2312" w:cs="楷体_GB2312"/>
          <w:color w:val="000000"/>
          <w:spacing w:val="0"/>
          <w:w w:val="100"/>
          <w:sz w:val="32"/>
          <w:szCs w:val="32"/>
          <w:lang w:val="en-US" w:eastAsia="zh-CN"/>
        </w:rPr>
        <w:t xml:space="preserve">  </w:t>
      </w:r>
      <w:r>
        <w:rPr>
          <w:rFonts w:hint="eastAsia" w:ascii="楷体_GB2312" w:hAnsi="楷体_GB2312" w:eastAsia="楷体_GB2312" w:cs="楷体_GB2312"/>
          <w:color w:val="000000"/>
          <w:spacing w:val="0"/>
          <w:w w:val="100"/>
          <w:sz w:val="32"/>
          <w:szCs w:val="32"/>
        </w:rPr>
        <w:t>总则</w:t>
      </w:r>
      <w:r>
        <w:rPr>
          <w:rFonts w:hint="eastAsia" w:ascii="楷体_GB2312" w:hAnsi="楷体_GB2312" w:eastAsia="楷体_GB2312" w:cs="楷体_GB2312"/>
          <w:color w:val="000000"/>
          <w:spacing w:val="0"/>
          <w:w w:val="100"/>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540" w:lineRule="exact"/>
        <w:ind w:left="0" w:leftChars="0" w:right="0" w:rightChars="0" w:firstLine="640" w:firstLineChars="0"/>
        <w:jc w:val="both"/>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第二章　</w:t>
      </w:r>
      <w:r>
        <w:rPr>
          <w:rFonts w:hint="eastAsia" w:ascii="楷体_GB2312" w:hAnsi="楷体_GB2312" w:eastAsia="楷体_GB2312" w:cs="楷体_GB2312"/>
          <w:color w:val="000000"/>
          <w:spacing w:val="0"/>
          <w:w w:val="100"/>
          <w:sz w:val="32"/>
          <w:szCs w:val="32"/>
          <w:lang w:eastAsia="zh-CN"/>
        </w:rPr>
        <w:t>组织管理</w:t>
      </w:r>
    </w:p>
    <w:p>
      <w:pPr>
        <w:keepNext w:val="0"/>
        <w:keepLines w:val="0"/>
        <w:pageBreakBefore w:val="0"/>
        <w:widowControl w:val="0"/>
        <w:numPr>
          <w:ilvl w:val="0"/>
          <w:numId w:val="0"/>
        </w:numPr>
        <w:kinsoku/>
        <w:wordWrap/>
        <w:overflowPunct/>
        <w:topLinePunct w:val="0"/>
        <w:autoSpaceDE/>
        <w:autoSpaceDN/>
        <w:bidi w:val="0"/>
        <w:adjustRightInd/>
        <w:snapToGrid w:val="0"/>
        <w:spacing w:line="540" w:lineRule="exact"/>
        <w:ind w:left="0" w:leftChars="0" w:right="0" w:rightChars="0" w:firstLine="640" w:firstLineChars="0"/>
        <w:jc w:val="both"/>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第三章　</w:t>
      </w:r>
      <w:r>
        <w:rPr>
          <w:rFonts w:hint="eastAsia" w:ascii="楷体_GB2312" w:hAnsi="楷体_GB2312" w:eastAsia="楷体_GB2312" w:cs="楷体_GB2312"/>
          <w:color w:val="000000"/>
          <w:spacing w:val="0"/>
          <w:w w:val="100"/>
          <w:sz w:val="32"/>
          <w:szCs w:val="32"/>
          <w:lang w:eastAsia="zh-CN"/>
        </w:rPr>
        <w:t>学校环境教育</w:t>
      </w:r>
    </w:p>
    <w:p>
      <w:pPr>
        <w:keepNext w:val="0"/>
        <w:keepLines w:val="0"/>
        <w:pageBreakBefore w:val="0"/>
        <w:widowControl w:val="0"/>
        <w:numPr>
          <w:ilvl w:val="0"/>
          <w:numId w:val="0"/>
        </w:numPr>
        <w:kinsoku/>
        <w:wordWrap/>
        <w:overflowPunct/>
        <w:topLinePunct w:val="0"/>
        <w:autoSpaceDE/>
        <w:autoSpaceDN/>
        <w:bidi w:val="0"/>
        <w:adjustRightInd/>
        <w:snapToGrid w:val="0"/>
        <w:spacing w:line="540" w:lineRule="exact"/>
        <w:ind w:left="0" w:leftChars="0" w:right="0" w:rightChars="0" w:firstLine="640" w:firstLineChars="0"/>
        <w:jc w:val="both"/>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第四章　</w:t>
      </w:r>
      <w:r>
        <w:rPr>
          <w:rFonts w:hint="eastAsia" w:ascii="楷体_GB2312" w:hAnsi="楷体_GB2312" w:eastAsia="楷体_GB2312" w:cs="楷体_GB2312"/>
          <w:color w:val="000000"/>
          <w:spacing w:val="0"/>
          <w:w w:val="100"/>
          <w:sz w:val="32"/>
          <w:szCs w:val="32"/>
          <w:lang w:eastAsia="zh-CN"/>
        </w:rPr>
        <w:t>社会环境教育</w:t>
      </w:r>
    </w:p>
    <w:p>
      <w:pPr>
        <w:keepNext w:val="0"/>
        <w:keepLines w:val="0"/>
        <w:pageBreakBefore w:val="0"/>
        <w:widowControl w:val="0"/>
        <w:numPr>
          <w:ilvl w:val="0"/>
          <w:numId w:val="0"/>
        </w:numPr>
        <w:kinsoku/>
        <w:wordWrap/>
        <w:overflowPunct/>
        <w:topLinePunct w:val="0"/>
        <w:autoSpaceDE/>
        <w:autoSpaceDN/>
        <w:bidi w:val="0"/>
        <w:adjustRightInd/>
        <w:snapToGrid w:val="0"/>
        <w:spacing w:line="540" w:lineRule="exact"/>
        <w:ind w:left="0" w:leftChars="0" w:right="0" w:rightChars="0" w:firstLine="640" w:firstLineChars="0"/>
        <w:jc w:val="both"/>
        <w:textAlignment w:val="auto"/>
        <w:outlineLvl w:val="9"/>
        <w:rPr>
          <w:rFonts w:hint="eastAsia" w:ascii="楷体_GB2312" w:hAnsi="楷体_GB2312" w:eastAsia="楷体_GB2312" w:cs="楷体_GB2312"/>
          <w:color w:val="000000"/>
          <w:spacing w:val="0"/>
          <w:w w:val="100"/>
          <w:sz w:val="32"/>
          <w:szCs w:val="32"/>
        </w:rPr>
      </w:pPr>
      <w:r>
        <w:rPr>
          <w:rFonts w:hint="eastAsia" w:ascii="楷体_GB2312" w:hAnsi="楷体_GB2312" w:eastAsia="楷体_GB2312" w:cs="楷体_GB2312"/>
          <w:color w:val="000000"/>
          <w:spacing w:val="0"/>
          <w:w w:val="100"/>
          <w:sz w:val="32"/>
          <w:szCs w:val="32"/>
        </w:rPr>
        <w:t>第五章　</w:t>
      </w:r>
      <w:r>
        <w:rPr>
          <w:rFonts w:hint="eastAsia" w:ascii="楷体_GB2312" w:hAnsi="楷体_GB2312" w:eastAsia="楷体_GB2312" w:cs="楷体_GB2312"/>
          <w:color w:val="000000"/>
          <w:spacing w:val="0"/>
          <w:w w:val="100"/>
          <w:sz w:val="32"/>
          <w:szCs w:val="32"/>
          <w:lang w:eastAsia="zh-CN"/>
        </w:rPr>
        <w:t>保障与监督</w:t>
      </w:r>
    </w:p>
    <w:p>
      <w:pPr>
        <w:keepNext w:val="0"/>
        <w:keepLines w:val="0"/>
        <w:pageBreakBefore w:val="0"/>
        <w:widowControl w:val="0"/>
        <w:numPr>
          <w:ilvl w:val="0"/>
          <w:numId w:val="0"/>
        </w:numPr>
        <w:kinsoku/>
        <w:wordWrap/>
        <w:overflowPunct/>
        <w:topLinePunct w:val="0"/>
        <w:autoSpaceDE/>
        <w:autoSpaceDN/>
        <w:bidi w:val="0"/>
        <w:adjustRightInd/>
        <w:snapToGrid w:val="0"/>
        <w:spacing w:line="540" w:lineRule="exact"/>
        <w:ind w:left="0" w:leftChars="0" w:right="0" w:rightChars="0"/>
        <w:jc w:val="both"/>
        <w:textAlignment w:val="auto"/>
        <w:outlineLvl w:val="9"/>
        <w:rPr>
          <w:rFonts w:hint="eastAsia" w:ascii="楷体_GB2312" w:hAnsi="楷体_GB2312" w:eastAsia="楷体_GB2312" w:cs="楷体_GB2312"/>
          <w:color w:val="000000"/>
          <w:spacing w:val="0"/>
          <w:w w:val="100"/>
          <w:sz w:val="32"/>
          <w:szCs w:val="32"/>
          <w:lang w:val="en-US" w:eastAsia="zh-CN"/>
        </w:rPr>
      </w:pPr>
      <w:r>
        <w:rPr>
          <w:rFonts w:hint="eastAsia" w:ascii="楷体_GB2312" w:hAnsi="楷体_GB2312" w:eastAsia="楷体_GB2312" w:cs="楷体_GB2312"/>
          <w:color w:val="000000"/>
          <w:spacing w:val="0"/>
          <w:w w:val="100"/>
          <w:sz w:val="32"/>
          <w:szCs w:val="32"/>
          <w:lang w:val="en-US" w:eastAsia="zh-CN"/>
        </w:rPr>
        <w:t xml:space="preserve">    </w:t>
      </w:r>
      <w:r>
        <w:rPr>
          <w:rFonts w:hint="eastAsia" w:ascii="楷体_GB2312" w:hAnsi="楷体_GB2312" w:eastAsia="楷体_GB2312" w:cs="楷体_GB2312"/>
          <w:color w:val="000000"/>
          <w:spacing w:val="0"/>
          <w:w w:val="100"/>
          <w:sz w:val="32"/>
          <w:szCs w:val="32"/>
        </w:rPr>
        <w:t>第</w:t>
      </w:r>
      <w:r>
        <w:rPr>
          <w:rFonts w:hint="eastAsia" w:ascii="楷体_GB2312" w:hAnsi="楷体_GB2312" w:eastAsia="楷体_GB2312" w:cs="楷体_GB2312"/>
          <w:color w:val="000000"/>
          <w:spacing w:val="0"/>
          <w:w w:val="100"/>
          <w:sz w:val="32"/>
          <w:szCs w:val="32"/>
          <w:lang w:eastAsia="zh-CN"/>
        </w:rPr>
        <w:t>六</w:t>
      </w:r>
      <w:r>
        <w:rPr>
          <w:rFonts w:hint="eastAsia" w:ascii="楷体_GB2312" w:hAnsi="楷体_GB2312" w:eastAsia="楷体_GB2312" w:cs="楷体_GB2312"/>
          <w:color w:val="000000"/>
          <w:spacing w:val="0"/>
          <w:w w:val="100"/>
          <w:sz w:val="32"/>
          <w:szCs w:val="32"/>
        </w:rPr>
        <w:t>章</w:t>
      </w:r>
      <w:r>
        <w:rPr>
          <w:rFonts w:hint="eastAsia" w:ascii="楷体_GB2312" w:hAnsi="楷体_GB2312" w:eastAsia="楷体_GB2312" w:cs="楷体_GB2312"/>
          <w:color w:val="000000"/>
          <w:spacing w:val="0"/>
          <w:w w:val="100"/>
          <w:sz w:val="32"/>
          <w:szCs w:val="32"/>
          <w:lang w:val="en-US" w:eastAsia="zh-CN"/>
        </w:rPr>
        <w:t xml:space="preserve">  </w:t>
      </w:r>
      <w:r>
        <w:rPr>
          <w:rFonts w:hint="eastAsia" w:ascii="楷体_GB2312" w:hAnsi="楷体_GB2312" w:eastAsia="楷体_GB2312" w:cs="楷体_GB2312"/>
          <w:color w:val="000000"/>
          <w:spacing w:val="0"/>
          <w:w w:val="100"/>
          <w:sz w:val="32"/>
          <w:szCs w:val="32"/>
        </w:rPr>
        <w:t>附则</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9"/>
          <w:rFonts w:hint="eastAsia" w:ascii="黑体" w:hAnsi="黑体" w:eastAsia="黑体" w:cs="黑体"/>
          <w:b w:val="0"/>
          <w:bCs w:val="0"/>
          <w:color w:val="000000"/>
          <w:spacing w:val="0"/>
          <w:w w:val="100"/>
          <w:sz w:val="21"/>
          <w:szCs w:val="21"/>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9"/>
          <w:rFonts w:hint="eastAsia" w:ascii="黑体" w:hAnsi="黑体" w:eastAsia="黑体" w:cs="黑体"/>
          <w:b w:val="0"/>
          <w:bCs w:val="0"/>
          <w:color w:val="000000"/>
          <w:spacing w:val="0"/>
          <w:w w:val="100"/>
          <w:sz w:val="32"/>
          <w:szCs w:val="32"/>
        </w:rPr>
      </w:pPr>
      <w:r>
        <w:rPr>
          <w:rStyle w:val="9"/>
          <w:rFonts w:hint="eastAsia" w:ascii="黑体" w:hAnsi="黑体" w:eastAsia="黑体" w:cs="黑体"/>
          <w:b w:val="0"/>
          <w:bCs w:val="0"/>
          <w:color w:val="000000"/>
          <w:spacing w:val="0"/>
          <w:w w:val="100"/>
          <w:sz w:val="32"/>
          <w:szCs w:val="32"/>
        </w:rPr>
        <w:t>第一章</w:t>
      </w:r>
      <w:r>
        <w:rPr>
          <w:rStyle w:val="9"/>
          <w:rFonts w:hint="eastAsia" w:ascii="黑体" w:hAnsi="黑体" w:eastAsia="黑体" w:cs="黑体"/>
          <w:b w:val="0"/>
          <w:bCs w:val="0"/>
          <w:color w:val="000000"/>
          <w:spacing w:val="0"/>
          <w:w w:val="100"/>
          <w:sz w:val="32"/>
          <w:szCs w:val="32"/>
          <w:lang w:val="en-US" w:eastAsia="zh-CN"/>
        </w:rPr>
        <w:t xml:space="preserve">  </w:t>
      </w:r>
      <w:r>
        <w:rPr>
          <w:rStyle w:val="9"/>
          <w:rFonts w:hint="eastAsia" w:ascii="黑体" w:hAnsi="黑体" w:eastAsia="黑体" w:cs="黑体"/>
          <w:b w:val="0"/>
          <w:bCs w:val="0"/>
          <w:color w:val="000000"/>
          <w:spacing w:val="0"/>
          <w:w w:val="100"/>
          <w:sz w:val="32"/>
          <w:szCs w:val="32"/>
        </w:rPr>
        <w:t>总则</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9"/>
          <w:rFonts w:hint="eastAsia" w:ascii="黑体" w:hAnsi="黑体" w:eastAsia="黑体" w:cs="黑体"/>
          <w:b w:val="0"/>
          <w:bCs w:val="0"/>
          <w:color w:val="000000"/>
          <w:spacing w:val="0"/>
          <w:w w:val="100"/>
          <w:sz w:val="21"/>
          <w:szCs w:val="21"/>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第一条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为了加强</w:t>
      </w:r>
      <w:r>
        <w:rPr>
          <w:rFonts w:hint="eastAsia" w:ascii="仿宋_GB2312" w:hAnsi="仿宋_GB2312" w:eastAsia="仿宋_GB2312" w:cs="仿宋_GB2312"/>
          <w:color w:val="000000"/>
          <w:spacing w:val="0"/>
          <w:w w:val="100"/>
          <w:sz w:val="32"/>
          <w:szCs w:val="32"/>
          <w:lang w:eastAsia="zh-CN"/>
        </w:rPr>
        <w:t>环境保护宣传</w:t>
      </w:r>
      <w:r>
        <w:rPr>
          <w:rFonts w:hint="eastAsia" w:ascii="仿宋_GB2312" w:hAnsi="仿宋_GB2312" w:eastAsia="仿宋_GB2312" w:cs="仿宋_GB2312"/>
          <w:color w:val="000000"/>
          <w:spacing w:val="0"/>
          <w:w w:val="100"/>
          <w:sz w:val="32"/>
          <w:szCs w:val="32"/>
        </w:rPr>
        <w:t>和普及环境教育，增强公民环境</w:t>
      </w:r>
      <w:r>
        <w:rPr>
          <w:rFonts w:hint="eastAsia" w:ascii="仿宋_GB2312" w:hAnsi="仿宋_GB2312" w:eastAsia="仿宋_GB2312" w:cs="仿宋_GB2312"/>
          <w:color w:val="000000"/>
          <w:spacing w:val="0"/>
          <w:w w:val="100"/>
          <w:sz w:val="32"/>
          <w:szCs w:val="32"/>
          <w:lang w:eastAsia="zh-CN"/>
        </w:rPr>
        <w:t>保护</w:t>
      </w:r>
      <w:r>
        <w:rPr>
          <w:rFonts w:hint="eastAsia" w:ascii="仿宋_GB2312" w:hAnsi="仿宋_GB2312" w:eastAsia="仿宋_GB2312" w:cs="仿宋_GB2312"/>
          <w:color w:val="000000"/>
          <w:spacing w:val="0"/>
          <w:w w:val="100"/>
          <w:sz w:val="32"/>
          <w:szCs w:val="32"/>
        </w:rPr>
        <w:t>意识，</w:t>
      </w:r>
      <w:r>
        <w:rPr>
          <w:rFonts w:hint="eastAsia" w:ascii="仿宋_GB2312" w:hAnsi="仿宋_GB2312" w:eastAsia="仿宋_GB2312" w:cs="仿宋_GB2312"/>
          <w:color w:val="000000"/>
          <w:spacing w:val="0"/>
          <w:w w:val="100"/>
          <w:sz w:val="32"/>
          <w:szCs w:val="32"/>
          <w:lang w:eastAsia="zh-CN"/>
        </w:rPr>
        <w:t>推进</w:t>
      </w:r>
      <w:r>
        <w:rPr>
          <w:rFonts w:hint="eastAsia" w:ascii="仿宋_GB2312" w:hAnsi="仿宋_GB2312" w:eastAsia="仿宋_GB2312" w:cs="仿宋_GB2312"/>
          <w:color w:val="000000"/>
          <w:spacing w:val="0"/>
          <w:w w:val="100"/>
          <w:sz w:val="32"/>
          <w:szCs w:val="32"/>
        </w:rPr>
        <w:t>生态文明</w:t>
      </w:r>
      <w:r>
        <w:rPr>
          <w:rFonts w:hint="eastAsia" w:ascii="仿宋_GB2312" w:hAnsi="仿宋_GB2312" w:eastAsia="仿宋_GB2312" w:cs="仿宋_GB2312"/>
          <w:color w:val="000000"/>
          <w:spacing w:val="0"/>
          <w:w w:val="100"/>
          <w:sz w:val="32"/>
          <w:szCs w:val="32"/>
          <w:lang w:eastAsia="zh-CN"/>
        </w:rPr>
        <w:t>建设</w:t>
      </w:r>
      <w:r>
        <w:rPr>
          <w:rFonts w:hint="eastAsia" w:ascii="仿宋_GB2312" w:hAnsi="仿宋_GB2312" w:eastAsia="仿宋_GB2312" w:cs="仿宋_GB2312"/>
          <w:color w:val="000000"/>
          <w:spacing w:val="0"/>
          <w:w w:val="100"/>
          <w:sz w:val="32"/>
          <w:szCs w:val="32"/>
        </w:rPr>
        <w:t>，根据有关法律、法规，结合自治区实际，制定本条例。</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第二条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自治区行政区域内的国家机关、企业、事业单位、社会团体和其他组织，以及对有接受教育能力的公民，开展环境教育活动，适用本条例。</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第三条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本条例所称环境教育，是指以环境意识、环境道德、环境法</w:t>
      </w:r>
      <w:r>
        <w:rPr>
          <w:rFonts w:hint="eastAsia" w:ascii="仿宋_GB2312" w:hAnsi="仿宋_GB2312" w:eastAsia="仿宋_GB2312" w:cs="仿宋_GB2312"/>
          <w:color w:val="000000"/>
          <w:spacing w:val="0"/>
          <w:w w:val="100"/>
          <w:sz w:val="32"/>
          <w:szCs w:val="32"/>
          <w:lang w:val="en-US" w:eastAsia="zh-CN"/>
        </w:rPr>
        <w:t>治</w:t>
      </w:r>
      <w:r>
        <w:rPr>
          <w:rFonts w:hint="eastAsia" w:ascii="仿宋_GB2312" w:hAnsi="仿宋_GB2312" w:eastAsia="仿宋_GB2312" w:cs="仿宋_GB2312"/>
          <w:color w:val="000000"/>
          <w:spacing w:val="0"/>
          <w:w w:val="100"/>
          <w:sz w:val="32"/>
          <w:szCs w:val="32"/>
        </w:rPr>
        <w:t>、环境科普知识为主要内容,培养环境保护技能、树立环境价值观的教育活动。</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第四条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普及和加强环境教育是全社会的共同责任。</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环境教育的对象是有接受教育能力的公民。重点是国家机关工作人员，企业、事业单位、社会团体和其他组织的管理人员以及青少年。</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第五条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环境教育工作应当坚持全面规划、统一组织、突出重点、分类指导，实行经常教育与集中教育相结合、普及教育与重点教育相结合、理论教育与实践教育相结合的原则。</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第六条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县级以上人民政府对在环境教育工作中做出突出贡献的单位和个人，应当予以表彰和奖励。</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第七条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每年六月的第一周为自治区环境教育宣传周。</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9"/>
          <w:rFonts w:hint="eastAsia" w:ascii="黑体" w:hAnsi="黑体" w:eastAsia="黑体" w:cs="黑体"/>
          <w:b w:val="0"/>
          <w:bCs w:val="0"/>
          <w:color w:val="000000"/>
          <w:spacing w:val="0"/>
          <w:w w:val="100"/>
          <w:sz w:val="21"/>
          <w:szCs w:val="21"/>
        </w:rPr>
      </w:pPr>
      <w:r>
        <w:rPr>
          <w:rStyle w:val="9"/>
          <w:rFonts w:hint="eastAsia" w:ascii="黑体" w:hAnsi="黑体" w:eastAsia="黑体" w:cs="黑体"/>
          <w:b w:val="0"/>
          <w:bCs w:val="0"/>
          <w:color w:val="000000"/>
          <w:spacing w:val="0"/>
          <w:w w:val="100"/>
          <w:sz w:val="21"/>
          <w:szCs w:val="21"/>
        </w:rPr>
        <w:t>　　 </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9"/>
          <w:rFonts w:hint="eastAsia" w:ascii="黑体" w:hAnsi="黑体" w:eastAsia="黑体" w:cs="黑体"/>
          <w:b w:val="0"/>
          <w:bCs w:val="0"/>
          <w:color w:val="000000"/>
          <w:spacing w:val="0"/>
          <w:w w:val="100"/>
          <w:sz w:val="32"/>
          <w:szCs w:val="32"/>
        </w:rPr>
      </w:pPr>
      <w:r>
        <w:rPr>
          <w:rStyle w:val="9"/>
          <w:rFonts w:hint="eastAsia" w:ascii="黑体" w:hAnsi="黑体" w:eastAsia="黑体" w:cs="黑体"/>
          <w:b w:val="0"/>
          <w:bCs w:val="0"/>
          <w:color w:val="000000"/>
          <w:spacing w:val="0"/>
          <w:w w:val="100"/>
          <w:sz w:val="32"/>
          <w:szCs w:val="32"/>
        </w:rPr>
        <w:t>第二章</w:t>
      </w:r>
      <w:r>
        <w:rPr>
          <w:rStyle w:val="9"/>
          <w:rFonts w:hint="eastAsia" w:ascii="黑体" w:hAnsi="黑体" w:eastAsia="黑体" w:cs="黑体"/>
          <w:b w:val="0"/>
          <w:bCs w:val="0"/>
          <w:color w:val="000000"/>
          <w:spacing w:val="0"/>
          <w:w w:val="100"/>
          <w:sz w:val="32"/>
          <w:szCs w:val="32"/>
          <w:lang w:val="en-US" w:eastAsia="zh-CN"/>
        </w:rPr>
        <w:t xml:space="preserve">  </w:t>
      </w:r>
      <w:r>
        <w:rPr>
          <w:rStyle w:val="9"/>
          <w:rFonts w:hint="eastAsia" w:ascii="黑体" w:hAnsi="黑体" w:eastAsia="黑体" w:cs="黑体"/>
          <w:b w:val="0"/>
          <w:bCs w:val="0"/>
          <w:color w:val="000000"/>
          <w:spacing w:val="0"/>
          <w:w w:val="100"/>
          <w:sz w:val="32"/>
          <w:szCs w:val="32"/>
        </w:rPr>
        <w:t>组织管理</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9"/>
          <w:rFonts w:hint="eastAsia" w:ascii="黑体" w:hAnsi="黑体" w:eastAsia="黑体" w:cs="黑体"/>
          <w:b w:val="0"/>
          <w:bCs w:val="0"/>
          <w:color w:val="000000"/>
          <w:spacing w:val="0"/>
          <w:w w:val="100"/>
          <w:sz w:val="21"/>
          <w:szCs w:val="21"/>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Style w:val="9"/>
          <w:rFonts w:hint="eastAsia" w:ascii="黑体" w:hAnsi="黑体" w:eastAsia="黑体" w:cs="黑体"/>
          <w:b w:val="0"/>
          <w:bCs w:val="0"/>
          <w:color w:val="000000"/>
          <w:spacing w:val="0"/>
          <w:w w:val="100"/>
          <w:sz w:val="32"/>
          <w:szCs w:val="32"/>
        </w:rPr>
        <w:t>第八条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县级以上人民政府负责本行政区域内的环境教育工作的统一规划，并组织实施。　</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color w:val="000000"/>
          <w:spacing w:val="0"/>
          <w:w w:val="100"/>
          <w:sz w:val="32"/>
          <w:szCs w:val="32"/>
        </w:rPr>
      </w:pPr>
      <w:r>
        <w:rPr>
          <w:rStyle w:val="9"/>
          <w:rFonts w:hint="eastAsia" w:ascii="黑体" w:hAnsi="黑体" w:eastAsia="黑体" w:cs="黑体"/>
          <w:b w:val="0"/>
          <w:bCs w:val="0"/>
          <w:color w:val="000000"/>
          <w:spacing w:val="0"/>
          <w:w w:val="100"/>
          <w:sz w:val="32"/>
          <w:szCs w:val="32"/>
        </w:rPr>
        <w:t>第九条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lang w:eastAsia="zh-CN"/>
        </w:rPr>
        <w:t>县级以上人民政府有关部门应当按照下列规定，做好本行政区域、本行业的环境教育工作：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（一）</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环境主管部门应当拟定环境教育规划、计划，报</w:t>
      </w:r>
      <w:r>
        <w:rPr>
          <w:rFonts w:hint="eastAsia" w:ascii="仿宋_GB2312" w:hAnsi="仿宋_GB2312" w:eastAsia="仿宋_GB2312" w:cs="仿宋_GB2312"/>
          <w:color w:val="000000"/>
          <w:spacing w:val="0"/>
          <w:w w:val="100"/>
          <w:sz w:val="32"/>
          <w:szCs w:val="32"/>
          <w:lang w:eastAsia="zh-CN"/>
        </w:rPr>
        <w:t>本级人民政府</w:t>
      </w:r>
      <w:r>
        <w:rPr>
          <w:rFonts w:hint="eastAsia" w:ascii="仿宋_GB2312" w:hAnsi="仿宋_GB2312" w:eastAsia="仿宋_GB2312" w:cs="仿宋_GB2312"/>
          <w:color w:val="000000"/>
          <w:spacing w:val="0"/>
          <w:w w:val="100"/>
          <w:sz w:val="32"/>
          <w:szCs w:val="32"/>
        </w:rPr>
        <w:t>批准后实施；会同有关部门编写环境教育读本；组织、协调、指导开展环境教育工作；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（二）教育主管部门应当将环境教育纳入中小学课程，制定学校环境教育规划、计划，组织编写环境教育地方课本，指导学校开展环境教育工作，对学校环境教育进行考核、监督；</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（三）文化</w:t>
      </w:r>
      <w:r>
        <w:rPr>
          <w:rFonts w:hint="eastAsia" w:ascii="仿宋_GB2312" w:hAnsi="仿宋_GB2312" w:eastAsia="仿宋_GB2312" w:cs="仿宋_GB2312"/>
          <w:color w:val="000000"/>
          <w:spacing w:val="0"/>
          <w:w w:val="100"/>
          <w:sz w:val="32"/>
          <w:szCs w:val="32"/>
          <w:lang w:eastAsia="zh-CN"/>
        </w:rPr>
        <w:t>和旅游</w:t>
      </w:r>
      <w:r>
        <w:rPr>
          <w:rFonts w:hint="eastAsia" w:ascii="仿宋_GB2312" w:hAnsi="仿宋_GB2312" w:eastAsia="仿宋_GB2312" w:cs="仿宋_GB2312"/>
          <w:color w:val="000000"/>
          <w:spacing w:val="0"/>
          <w:w w:val="100"/>
          <w:sz w:val="32"/>
          <w:szCs w:val="32"/>
        </w:rPr>
        <w:t>、广播电视等主管部门应当做好环境教育社会宣传和环境文化知识的普及、推广工作；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（四）司法行政主管部门应当将环境法律、法规列入普法规划、计划，并组织实施；</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（五）卫生</w:t>
      </w:r>
      <w:r>
        <w:rPr>
          <w:rFonts w:hint="eastAsia" w:ascii="仿宋_GB2312" w:hAnsi="仿宋_GB2312" w:eastAsia="仿宋_GB2312" w:cs="仿宋_GB2312"/>
          <w:color w:val="000000"/>
          <w:spacing w:val="0"/>
          <w:w w:val="100"/>
          <w:sz w:val="32"/>
          <w:szCs w:val="32"/>
          <w:lang w:eastAsia="zh-CN"/>
        </w:rPr>
        <w:t>健康</w:t>
      </w:r>
      <w:r>
        <w:rPr>
          <w:rFonts w:hint="eastAsia" w:ascii="仿宋_GB2312" w:hAnsi="仿宋_GB2312" w:eastAsia="仿宋_GB2312" w:cs="仿宋_GB2312"/>
          <w:color w:val="000000"/>
          <w:spacing w:val="0"/>
          <w:w w:val="100"/>
          <w:sz w:val="32"/>
          <w:szCs w:val="32"/>
        </w:rPr>
        <w:t>主管部门组织开展医疗卫生机构的环境教育工作；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（六）人力资源社会保障主管部门应当将环境教育纳入</w:t>
      </w:r>
      <w:r>
        <w:rPr>
          <w:rFonts w:hint="eastAsia" w:ascii="仿宋_GB2312" w:hAnsi="仿宋_GB2312" w:eastAsia="仿宋_GB2312" w:cs="仿宋_GB2312"/>
          <w:color w:val="000000"/>
          <w:spacing w:val="0"/>
          <w:w w:val="100"/>
          <w:sz w:val="32"/>
          <w:szCs w:val="32"/>
          <w:lang w:eastAsia="zh-CN"/>
        </w:rPr>
        <w:t>国家机关</w:t>
      </w:r>
      <w:r>
        <w:rPr>
          <w:rFonts w:hint="eastAsia" w:ascii="仿宋_GB2312" w:hAnsi="仿宋_GB2312" w:eastAsia="仿宋_GB2312" w:cs="仿宋_GB2312"/>
          <w:color w:val="000000"/>
          <w:spacing w:val="0"/>
          <w:w w:val="100"/>
          <w:sz w:val="32"/>
          <w:szCs w:val="32"/>
        </w:rPr>
        <w:t>工作人员</w:t>
      </w:r>
      <w:r>
        <w:rPr>
          <w:rFonts w:hint="eastAsia" w:ascii="仿宋_GB2312" w:hAnsi="仿宋_GB2312" w:eastAsia="仿宋_GB2312" w:cs="仿宋_GB2312"/>
          <w:color w:val="000000"/>
          <w:spacing w:val="0"/>
          <w:w w:val="100"/>
          <w:sz w:val="32"/>
          <w:szCs w:val="32"/>
          <w:lang w:eastAsia="zh-CN"/>
        </w:rPr>
        <w:t>和</w:t>
      </w:r>
      <w:r>
        <w:rPr>
          <w:rFonts w:hint="eastAsia" w:ascii="仿宋_GB2312" w:hAnsi="仿宋_GB2312" w:eastAsia="仿宋_GB2312" w:cs="仿宋_GB2312"/>
          <w:color w:val="000000"/>
          <w:spacing w:val="0"/>
          <w:w w:val="100"/>
          <w:sz w:val="32"/>
          <w:szCs w:val="32"/>
        </w:rPr>
        <w:t>专业技术人员继续教育、职业技能培训内容；</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（七）发展改革、财政、</w:t>
      </w:r>
      <w:r>
        <w:rPr>
          <w:rFonts w:hint="eastAsia" w:ascii="仿宋_GB2312" w:hAnsi="仿宋_GB2312" w:eastAsia="仿宋_GB2312" w:cs="仿宋_GB2312"/>
          <w:color w:val="000000"/>
          <w:spacing w:val="0"/>
          <w:w w:val="100"/>
          <w:sz w:val="32"/>
          <w:szCs w:val="32"/>
          <w:lang w:eastAsia="zh-CN"/>
        </w:rPr>
        <w:t>工业和</w:t>
      </w:r>
      <w:r>
        <w:rPr>
          <w:rFonts w:hint="eastAsia" w:ascii="仿宋_GB2312" w:hAnsi="仿宋_GB2312" w:eastAsia="仿宋_GB2312" w:cs="仿宋_GB2312"/>
          <w:color w:val="000000"/>
          <w:spacing w:val="0"/>
          <w:w w:val="100"/>
          <w:sz w:val="32"/>
          <w:szCs w:val="32"/>
        </w:rPr>
        <w:t>信息化、</w:t>
      </w:r>
      <w:r>
        <w:rPr>
          <w:rFonts w:hint="eastAsia" w:ascii="仿宋_GB2312" w:hAnsi="仿宋_GB2312" w:eastAsia="仿宋_GB2312" w:cs="仿宋_GB2312"/>
          <w:color w:val="000000"/>
          <w:spacing w:val="0"/>
          <w:w w:val="100"/>
          <w:sz w:val="32"/>
          <w:szCs w:val="32"/>
          <w:lang w:eastAsia="zh-CN"/>
        </w:rPr>
        <w:t>自然</w:t>
      </w:r>
      <w:r>
        <w:rPr>
          <w:rFonts w:hint="eastAsia" w:ascii="仿宋_GB2312" w:hAnsi="仿宋_GB2312" w:eastAsia="仿宋_GB2312" w:cs="仿宋_GB2312"/>
          <w:color w:val="000000"/>
          <w:spacing w:val="0"/>
          <w:w w:val="100"/>
          <w:sz w:val="32"/>
          <w:szCs w:val="32"/>
        </w:rPr>
        <w:t>资源、住房城乡建设、农</w:t>
      </w:r>
      <w:r>
        <w:rPr>
          <w:rFonts w:hint="eastAsia" w:ascii="仿宋_GB2312" w:hAnsi="仿宋_GB2312" w:eastAsia="仿宋_GB2312" w:cs="仿宋_GB2312"/>
          <w:color w:val="000000"/>
          <w:spacing w:val="0"/>
          <w:w w:val="100"/>
          <w:sz w:val="32"/>
          <w:szCs w:val="32"/>
          <w:lang w:eastAsia="zh-CN"/>
        </w:rPr>
        <w:t>业农村</w:t>
      </w:r>
      <w:r>
        <w:rPr>
          <w:rFonts w:hint="eastAsia" w:ascii="仿宋_GB2312" w:hAnsi="仿宋_GB2312" w:eastAsia="仿宋_GB2312" w:cs="仿宋_GB2312"/>
          <w:color w:val="000000"/>
          <w:spacing w:val="0"/>
          <w:w w:val="100"/>
          <w:sz w:val="32"/>
          <w:szCs w:val="32"/>
        </w:rPr>
        <w:t>、科技、商务、</w:t>
      </w:r>
      <w:r>
        <w:rPr>
          <w:rFonts w:hint="eastAsia" w:ascii="仿宋_GB2312" w:hAnsi="仿宋_GB2312" w:eastAsia="仿宋_GB2312" w:cs="仿宋_GB2312"/>
          <w:color w:val="000000"/>
          <w:spacing w:val="0"/>
          <w:w w:val="100"/>
          <w:sz w:val="32"/>
          <w:szCs w:val="32"/>
          <w:lang w:eastAsia="zh-CN"/>
        </w:rPr>
        <w:t>市场监督管理、</w:t>
      </w:r>
      <w:r>
        <w:rPr>
          <w:rFonts w:hint="eastAsia" w:ascii="仿宋_GB2312" w:hAnsi="仿宋_GB2312" w:eastAsia="仿宋_GB2312" w:cs="仿宋_GB2312"/>
          <w:color w:val="000000"/>
          <w:spacing w:val="0"/>
          <w:w w:val="100"/>
          <w:sz w:val="32"/>
          <w:szCs w:val="32"/>
        </w:rPr>
        <w:t>气象、地震等主管部门，应当做好相关的环境教育工作。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第十条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工会、共青团、妇联、科协以及其他社会团体应当结合各自工作，开展多种形式的环境教育活动。</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9"/>
          <w:rFonts w:hint="eastAsia" w:ascii="黑体" w:hAnsi="黑体" w:eastAsia="黑体" w:cs="黑体"/>
          <w:b w:val="0"/>
          <w:bCs w:val="0"/>
          <w:color w:val="000000"/>
          <w:spacing w:val="0"/>
          <w:w w:val="100"/>
          <w:sz w:val="21"/>
          <w:szCs w:val="21"/>
        </w:rPr>
      </w:pPr>
      <w:r>
        <w:rPr>
          <w:rStyle w:val="9"/>
          <w:rFonts w:hint="eastAsia" w:ascii="黑体" w:hAnsi="黑体" w:eastAsia="黑体" w:cs="黑体"/>
          <w:b w:val="0"/>
          <w:bCs w:val="0"/>
          <w:color w:val="000000"/>
          <w:spacing w:val="0"/>
          <w:w w:val="100"/>
          <w:sz w:val="21"/>
          <w:szCs w:val="21"/>
        </w:rPr>
        <w:t> </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9"/>
          <w:rFonts w:hint="eastAsia" w:ascii="黑体" w:hAnsi="黑体" w:eastAsia="黑体" w:cs="黑体"/>
          <w:b w:val="0"/>
          <w:bCs w:val="0"/>
          <w:color w:val="000000"/>
          <w:spacing w:val="0"/>
          <w:w w:val="100"/>
          <w:sz w:val="32"/>
          <w:szCs w:val="32"/>
        </w:rPr>
      </w:pPr>
      <w:r>
        <w:rPr>
          <w:rStyle w:val="9"/>
          <w:rFonts w:hint="eastAsia" w:ascii="黑体" w:hAnsi="黑体" w:eastAsia="黑体" w:cs="黑体"/>
          <w:b w:val="0"/>
          <w:bCs w:val="0"/>
          <w:color w:val="000000"/>
          <w:spacing w:val="0"/>
          <w:w w:val="100"/>
          <w:sz w:val="32"/>
          <w:szCs w:val="32"/>
        </w:rPr>
        <w:t>第三章</w:t>
      </w:r>
      <w:r>
        <w:rPr>
          <w:rStyle w:val="9"/>
          <w:rFonts w:hint="eastAsia" w:ascii="黑体" w:hAnsi="黑体" w:eastAsia="黑体" w:cs="黑体"/>
          <w:b w:val="0"/>
          <w:bCs w:val="0"/>
          <w:color w:val="000000"/>
          <w:spacing w:val="0"/>
          <w:w w:val="100"/>
          <w:sz w:val="32"/>
          <w:szCs w:val="32"/>
          <w:lang w:val="en-US" w:eastAsia="zh-CN"/>
        </w:rPr>
        <w:t xml:space="preserve">  </w:t>
      </w:r>
      <w:r>
        <w:rPr>
          <w:rStyle w:val="9"/>
          <w:rFonts w:hint="eastAsia" w:ascii="黑体" w:hAnsi="黑体" w:eastAsia="黑体" w:cs="黑体"/>
          <w:b w:val="0"/>
          <w:bCs w:val="0"/>
          <w:color w:val="000000"/>
          <w:spacing w:val="0"/>
          <w:w w:val="100"/>
          <w:sz w:val="32"/>
          <w:szCs w:val="32"/>
        </w:rPr>
        <w:t>学校环境教育</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9"/>
          <w:rFonts w:hint="eastAsia" w:ascii="黑体" w:hAnsi="黑体" w:eastAsia="黑体" w:cs="黑体"/>
          <w:b w:val="0"/>
          <w:bCs w:val="0"/>
          <w:color w:val="000000"/>
          <w:spacing w:val="0"/>
          <w:w w:val="100"/>
          <w:sz w:val="21"/>
          <w:szCs w:val="21"/>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第十一条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学校环境教育是环境教育工作的基础。学校应当组织落实学校环境教育教学规划、计划，配备、培养环境教育师资力量和课外辅导员，并组织开展环境教育实践活动。</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第十二条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幼儿园应当结合幼儿生活习性，启蒙幼儿认识自然环境，培养珍惜自然资源、关心和爱护环境的意识。</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第十三条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中小学校应当将环境教育纳入公共基础课程，教育引导中小学生关心环境，树立正确的环境观，培养良好的环境行为习惯。</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第十四条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高等院校和中等专业技术学校应当为非环境类专业的学生开设环境教育必修课程或者选修课程，培养学生的环境素养和环境知识技能，提高环境意识，鼓励学生开展环境科学研究。</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第十五条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校长应当组织学校开展下列活动：</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（一）制定环境教育工作方案，督促、检查工作方案的落实情况；</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（二）将环境教育纳入教师继续教育内容；</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（三）定期研究分析学校环境教育状况，采取措施提高环境教育的针对性和有效性。</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第十六条</w:t>
      </w:r>
      <w:r>
        <w:rPr>
          <w:rStyle w:val="9"/>
          <w:rFonts w:hint="eastAsia" w:ascii="黑体" w:hAnsi="黑体" w:eastAsia="黑体" w:cs="黑体"/>
          <w:b w:val="0"/>
          <w:bCs w:val="0"/>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环境、教育、科技等主管部门应当创造条件，为学校开展环境教育提供信息、项目、资金等方面的支持。</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行政机关、企业、社区、环境保护社会组织应当为学校开展环境教育活动提供便利和环境教育资源。</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第十七条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教育主管部门应当将环境教育作为学校办学质量评估指标，并纳入对学校的考核内容。</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教育督导机构应当将学校环境教育列入教育督导规划、计划，并定期实施督导。</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Fonts w:hint="eastAsia" w:ascii="仿宋_GB2312" w:hAnsi="仿宋_GB2312" w:eastAsia="仿宋_GB2312" w:cs="仿宋_GB2312"/>
          <w:color w:val="000000"/>
          <w:spacing w:val="-11"/>
          <w:w w:val="100"/>
          <w:sz w:val="32"/>
          <w:szCs w:val="32"/>
        </w:rPr>
        <w:t>环境教育督导结论应当作为考核学校以及校长工作的依据之一。</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第十八条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青少年应当学习和掌握必要的环境知识，自觉遵守环境法律、法规，提高环境意识。</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w w:val="100"/>
          <w:sz w:val="21"/>
          <w:szCs w:val="21"/>
        </w:rPr>
      </w:pPr>
      <w:r>
        <w:rPr>
          <w:rFonts w:hint="eastAsia" w:ascii="仿宋_GB2312" w:hAnsi="仿宋_GB2312" w:eastAsia="仿宋_GB2312" w:cs="仿宋_GB2312"/>
          <w:color w:val="000000"/>
          <w:spacing w:val="0"/>
          <w:w w:val="100"/>
          <w:sz w:val="21"/>
          <w:szCs w:val="21"/>
        </w:rPr>
        <w:t>　　 </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9"/>
          <w:rFonts w:hint="eastAsia" w:ascii="黑体" w:hAnsi="黑体" w:eastAsia="黑体" w:cs="黑体"/>
          <w:b w:val="0"/>
          <w:bCs w:val="0"/>
          <w:color w:val="000000"/>
          <w:spacing w:val="0"/>
          <w:w w:val="100"/>
          <w:sz w:val="32"/>
          <w:szCs w:val="32"/>
        </w:rPr>
      </w:pPr>
      <w:r>
        <w:rPr>
          <w:rStyle w:val="9"/>
          <w:rFonts w:hint="eastAsia" w:ascii="黑体" w:hAnsi="黑体" w:eastAsia="黑体" w:cs="黑体"/>
          <w:b w:val="0"/>
          <w:bCs w:val="0"/>
          <w:color w:val="000000"/>
          <w:spacing w:val="0"/>
          <w:w w:val="100"/>
          <w:sz w:val="32"/>
          <w:szCs w:val="32"/>
        </w:rPr>
        <w:t>第四章</w:t>
      </w:r>
      <w:r>
        <w:rPr>
          <w:rStyle w:val="9"/>
          <w:rFonts w:hint="eastAsia" w:ascii="黑体" w:hAnsi="黑体" w:eastAsia="黑体" w:cs="黑体"/>
          <w:b w:val="0"/>
          <w:bCs w:val="0"/>
          <w:color w:val="000000"/>
          <w:spacing w:val="0"/>
          <w:w w:val="100"/>
          <w:sz w:val="32"/>
          <w:szCs w:val="32"/>
          <w:lang w:val="en-US" w:eastAsia="zh-CN"/>
        </w:rPr>
        <w:t xml:space="preserve">  </w:t>
      </w:r>
      <w:r>
        <w:rPr>
          <w:rStyle w:val="9"/>
          <w:rFonts w:hint="eastAsia" w:ascii="黑体" w:hAnsi="黑体" w:eastAsia="黑体" w:cs="黑体"/>
          <w:b w:val="0"/>
          <w:bCs w:val="0"/>
          <w:color w:val="000000"/>
          <w:spacing w:val="0"/>
          <w:w w:val="100"/>
          <w:sz w:val="32"/>
          <w:szCs w:val="32"/>
        </w:rPr>
        <w:t>社会环境教育</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w w:val="100"/>
          <w:sz w:val="21"/>
          <w:szCs w:val="21"/>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第十九条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国家机关、企业、事业单位、社会团体和其他组织应当将环境教育工作纳入年度工作计划，开展多种形式的环境教育活动，普及环境知识。</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第二十条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建立国家机关主要负责人环境教育培训制度。</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县级以上人民政府主要负责人和政府组成部门、直属机构主要负责人在任职期间，应当接受环境教育培训。</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第二十一条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行政学院和其他职业培训机构应当将环境教育内容纳入教学和培训计划。</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公务员初任和晋升职务培训、事业单位工作人员和专业技术人员继续教育培训以及职业技能培训，应当安排环境形势、环境保护任务以及环境法律、法规等环境教育内容。</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第二十二条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企业和其他组织应当将环境教育纳入员工教育、培训计划，并结合实际做好管理人员、环境保护设施运行管理人员和其他员工的经常性环境教育。</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环境主管部门应当将企业和其他组织环境教育情况纳入环境保护工作监督管理的内容，督促其落实环境教育职责。</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第二十三条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国家和自治区环境重点监控企业、新建项目单位的负责人，应当每年接受不少于一次的</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环境主管部门组织的环境教育培训。</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企业环境保护设施运行管理人员应当接受</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环境、人力资源社会保障主管部门组织的环境教育培训。</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第二十四条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被依法查处的环境违法企业的法定代表人以及相关责任人，应当接受</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环境主管部门组织的约谈教育，并予以通报。</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第二十五条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环境主管部门应当为环境保护社会组织开展环境教育活动，提供政策、信息以及其他方面的支持、指导和服务。</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第二十六条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环境、农</w:t>
      </w:r>
      <w:r>
        <w:rPr>
          <w:rFonts w:hint="eastAsia" w:ascii="仿宋_GB2312" w:hAnsi="仿宋_GB2312" w:eastAsia="仿宋_GB2312" w:cs="仿宋_GB2312"/>
          <w:color w:val="000000"/>
          <w:spacing w:val="0"/>
          <w:w w:val="100"/>
          <w:sz w:val="32"/>
          <w:szCs w:val="32"/>
          <w:lang w:eastAsia="zh-CN"/>
        </w:rPr>
        <w:t>业农村</w:t>
      </w:r>
      <w:r>
        <w:rPr>
          <w:rFonts w:hint="eastAsia" w:ascii="仿宋_GB2312" w:hAnsi="仿宋_GB2312" w:eastAsia="仿宋_GB2312" w:cs="仿宋_GB2312"/>
          <w:color w:val="000000"/>
          <w:spacing w:val="0"/>
          <w:w w:val="100"/>
          <w:sz w:val="32"/>
          <w:szCs w:val="32"/>
        </w:rPr>
        <w:t>、科技、文化</w:t>
      </w:r>
      <w:r>
        <w:rPr>
          <w:rFonts w:hint="eastAsia" w:ascii="仿宋_GB2312" w:hAnsi="仿宋_GB2312" w:eastAsia="仿宋_GB2312" w:cs="仿宋_GB2312"/>
          <w:color w:val="000000"/>
          <w:spacing w:val="0"/>
          <w:w w:val="100"/>
          <w:sz w:val="32"/>
          <w:szCs w:val="32"/>
          <w:lang w:eastAsia="zh-CN"/>
        </w:rPr>
        <w:t>和旅游</w:t>
      </w:r>
      <w:r>
        <w:rPr>
          <w:rFonts w:hint="eastAsia" w:ascii="仿宋_GB2312" w:hAnsi="仿宋_GB2312" w:eastAsia="仿宋_GB2312" w:cs="仿宋_GB2312"/>
          <w:color w:val="000000"/>
          <w:spacing w:val="0"/>
          <w:w w:val="100"/>
          <w:sz w:val="32"/>
          <w:szCs w:val="32"/>
        </w:rPr>
        <w:t>等主管部门和乡镇人民政府，应当通过环境知识讲座、科技咨询、农村劳动力转移就业培训以及文艺演出等形式，宣传环境科普知识和技术，组织开展农村环境教育。</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第二十七条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乡镇人民政府、村（居）民委员会应当利用社区、集市、文化馆等公共场所，开展经常性的环境教育活动。通过制定村（居）民环境保护公约、推广垃圾分类、节约能源、开展环境保护与健康讲座等形式，倡导环境文明生活方式。</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第二十八条</w:t>
      </w:r>
      <w:r>
        <w:rPr>
          <w:rStyle w:val="9"/>
          <w:rFonts w:hint="eastAsia" w:ascii="黑体" w:hAnsi="黑体" w:eastAsia="黑体" w:cs="黑体"/>
          <w:b w:val="0"/>
          <w:bCs w:val="0"/>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广播电视、报刊、互联网等媒体，应当开设经常性环境教育栏目、节目，开展公益性环境教育宣传活动。</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Style w:val="9"/>
          <w:rFonts w:hint="eastAsia" w:ascii="黑体" w:hAnsi="黑体" w:eastAsia="黑体" w:cs="黑体"/>
          <w:b w:val="0"/>
          <w:bCs w:val="0"/>
          <w:color w:val="000000"/>
          <w:spacing w:val="0"/>
          <w:w w:val="100"/>
          <w:sz w:val="21"/>
          <w:szCs w:val="21"/>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jc w:val="center"/>
        <w:textAlignment w:val="auto"/>
        <w:outlineLvl w:val="9"/>
        <w:rPr>
          <w:rFonts w:hint="eastAsia" w:ascii="仿宋_GB2312" w:hAnsi="仿宋_GB2312" w:eastAsia="仿宋_GB2312" w:cs="仿宋_GB2312"/>
          <w:color w:val="000000"/>
          <w:spacing w:val="0"/>
          <w:w w:val="100"/>
          <w:sz w:val="32"/>
          <w:szCs w:val="32"/>
        </w:rPr>
      </w:pPr>
      <w:r>
        <w:rPr>
          <w:rStyle w:val="9"/>
          <w:rFonts w:hint="eastAsia" w:ascii="黑体" w:hAnsi="黑体" w:eastAsia="黑体" w:cs="黑体"/>
          <w:b w:val="0"/>
          <w:bCs w:val="0"/>
          <w:color w:val="000000"/>
          <w:spacing w:val="0"/>
          <w:w w:val="100"/>
          <w:sz w:val="32"/>
          <w:szCs w:val="32"/>
        </w:rPr>
        <w:t>第五章</w:t>
      </w:r>
      <w:r>
        <w:rPr>
          <w:rStyle w:val="9"/>
          <w:rFonts w:hint="eastAsia" w:ascii="黑体" w:hAnsi="黑体" w:eastAsia="黑体" w:cs="黑体"/>
          <w:b w:val="0"/>
          <w:bCs w:val="0"/>
          <w:color w:val="000000"/>
          <w:spacing w:val="0"/>
          <w:w w:val="100"/>
          <w:sz w:val="32"/>
          <w:szCs w:val="32"/>
          <w:lang w:val="en-US" w:eastAsia="zh-CN"/>
        </w:rPr>
        <w:t xml:space="preserve">  </w:t>
      </w:r>
      <w:r>
        <w:rPr>
          <w:rStyle w:val="9"/>
          <w:rFonts w:hint="eastAsia" w:ascii="黑体" w:hAnsi="黑体" w:eastAsia="黑体" w:cs="黑体"/>
          <w:b w:val="0"/>
          <w:bCs w:val="0"/>
          <w:color w:val="000000"/>
          <w:spacing w:val="0"/>
          <w:w w:val="100"/>
          <w:sz w:val="32"/>
          <w:szCs w:val="32"/>
        </w:rPr>
        <w:t>保障与监督</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w w:val="100"/>
          <w:sz w:val="21"/>
          <w:szCs w:val="21"/>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w:t>
      </w:r>
      <w:r>
        <w:rPr>
          <w:rStyle w:val="9"/>
          <w:rFonts w:hint="eastAsia" w:ascii="黑体" w:hAnsi="黑体" w:eastAsia="黑体" w:cs="黑体"/>
          <w:b w:val="0"/>
          <w:bCs w:val="0"/>
          <w:color w:val="000000"/>
          <w:spacing w:val="0"/>
          <w:w w:val="100"/>
          <w:sz w:val="32"/>
          <w:szCs w:val="32"/>
          <w:lang w:val="en-US" w:eastAsia="zh-CN"/>
        </w:rPr>
        <w:t>二十九</w:t>
      </w:r>
      <w:r>
        <w:rPr>
          <w:rStyle w:val="9"/>
          <w:rFonts w:hint="eastAsia" w:ascii="黑体" w:hAnsi="黑体" w:eastAsia="黑体" w:cs="黑体"/>
          <w:b w:val="0"/>
          <w:bCs w:val="0"/>
          <w:color w:val="000000"/>
          <w:spacing w:val="0"/>
          <w:w w:val="100"/>
          <w:sz w:val="32"/>
          <w:szCs w:val="32"/>
        </w:rPr>
        <w:t>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县级以上人民政府应当定期向本级人民代表大会常务委员会报告环境教育工作情况，接受监督检查。</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第三十条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县级以上人民政府应当将环境教育经费列入本级财政预算。</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w:t>
      </w:r>
      <w:r>
        <w:rPr>
          <w:rStyle w:val="9"/>
          <w:rFonts w:hint="eastAsia" w:ascii="黑体" w:hAnsi="黑体" w:eastAsia="黑体" w:cs="黑体"/>
          <w:b w:val="0"/>
          <w:bCs w:val="0"/>
          <w:color w:val="000000"/>
          <w:spacing w:val="0"/>
          <w:w w:val="100"/>
          <w:sz w:val="32"/>
          <w:szCs w:val="32"/>
          <w:lang w:val="en-US" w:eastAsia="zh-CN"/>
        </w:rPr>
        <w:t>三十一</w:t>
      </w:r>
      <w:r>
        <w:rPr>
          <w:rStyle w:val="9"/>
          <w:rFonts w:hint="eastAsia" w:ascii="黑体" w:hAnsi="黑体" w:eastAsia="黑体" w:cs="黑体"/>
          <w:b w:val="0"/>
          <w:bCs w:val="0"/>
          <w:color w:val="000000"/>
          <w:spacing w:val="0"/>
          <w:w w:val="100"/>
          <w:sz w:val="32"/>
          <w:szCs w:val="32"/>
        </w:rPr>
        <w:t>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国家机关、事业单位、社会团体开展环境教育所需经费，在本单位预算经费内列支；企业和其他组织开展环境教育所需经费，由本单位承担。</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第三十二条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鼓励、引导有条件的单位创建环境教育基地。</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符合下列条件的单位、场所，</w:t>
      </w:r>
      <w:r>
        <w:rPr>
          <w:rFonts w:hint="eastAsia" w:ascii="仿宋_GB2312" w:hAnsi="仿宋_GB2312" w:eastAsia="仿宋_GB2312" w:cs="仿宋_GB2312"/>
          <w:color w:val="000000"/>
          <w:spacing w:val="0"/>
          <w:w w:val="100"/>
          <w:sz w:val="32"/>
          <w:szCs w:val="32"/>
          <w:lang w:eastAsia="zh-CN"/>
        </w:rPr>
        <w:t>县级以上人民政府可以</w:t>
      </w:r>
      <w:r>
        <w:rPr>
          <w:rFonts w:hint="eastAsia" w:ascii="仿宋_GB2312" w:hAnsi="仿宋_GB2312" w:eastAsia="仿宋_GB2312" w:cs="仿宋_GB2312"/>
          <w:color w:val="000000"/>
          <w:spacing w:val="0"/>
          <w:w w:val="100"/>
          <w:sz w:val="32"/>
          <w:szCs w:val="32"/>
        </w:rPr>
        <w:t>确立为环境教育基地：</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（一）有一定的环境教育设施和场所；</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（二）有明确的环境教育主题和功能；</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（三）有相应的环境教育人员；</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（四）有良好的社会环境形象；</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（五）有必要的经费保障，能够向社会免费开放。</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环境主管部门应当支持环境教育基地的建设。</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第三十三条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环境主管部门应当加强环境教育师资力量建设，做好环境教育专、兼职教员的选拔、培训和管理工作。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第三十四条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环境主管部门应当建立环境教育资源公共服务平台，开发网络环境教育学习课程，为国家机关、企业、事业单位、社会团体和其他组织开展环境教育活动，提供政策、信息服务。</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Fonts w:hint="eastAsia" w:ascii="仿宋_GB2312" w:hAnsi="仿宋_GB2312" w:eastAsia="仿宋_GB2312" w:cs="仿宋_GB2312"/>
          <w:color w:val="000000"/>
          <w:spacing w:val="0"/>
          <w:w w:val="100"/>
          <w:sz w:val="32"/>
          <w:szCs w:val="32"/>
          <w:lang w:eastAsia="zh-CN"/>
        </w:rPr>
        <w:t>生态</w:t>
      </w:r>
      <w:r>
        <w:rPr>
          <w:rFonts w:hint="eastAsia" w:ascii="仿宋_GB2312" w:hAnsi="仿宋_GB2312" w:eastAsia="仿宋_GB2312" w:cs="仿宋_GB2312"/>
          <w:color w:val="000000"/>
          <w:spacing w:val="0"/>
          <w:w w:val="100"/>
          <w:sz w:val="32"/>
          <w:szCs w:val="32"/>
        </w:rPr>
        <w:t>环境主管部门应当制作环境教育影视资料，免费向社</w:t>
      </w:r>
      <w:r>
        <w:rPr>
          <w:rFonts w:hint="eastAsia" w:ascii="仿宋_GB2312" w:hAnsi="仿宋_GB2312" w:eastAsia="仿宋_GB2312" w:cs="仿宋_GB2312"/>
          <w:color w:val="000000"/>
          <w:spacing w:val="-11"/>
          <w:w w:val="100"/>
          <w:sz w:val="32"/>
          <w:szCs w:val="32"/>
        </w:rPr>
        <w:t>会提供，并在图书馆、科技馆等公共场所设立环境教育资料索取点。</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第三十五条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自治区</w:t>
      </w:r>
      <w:r>
        <w:rPr>
          <w:rFonts w:hint="eastAsia" w:ascii="仿宋_GB2312" w:hAnsi="仿宋_GB2312" w:eastAsia="仿宋_GB2312" w:cs="仿宋_GB2312"/>
          <w:color w:val="000000"/>
          <w:spacing w:val="0"/>
          <w:w w:val="100"/>
          <w:sz w:val="32"/>
          <w:szCs w:val="32"/>
          <w:lang w:eastAsia="zh-CN"/>
        </w:rPr>
        <w:t>生态环境主管部门</w:t>
      </w:r>
      <w:r>
        <w:rPr>
          <w:rFonts w:hint="eastAsia" w:ascii="仿宋_GB2312" w:hAnsi="仿宋_GB2312" w:eastAsia="仿宋_GB2312" w:cs="仿宋_GB2312"/>
          <w:color w:val="000000"/>
          <w:spacing w:val="0"/>
          <w:w w:val="100"/>
          <w:sz w:val="32"/>
          <w:szCs w:val="32"/>
        </w:rPr>
        <w:t>应当</w:t>
      </w:r>
      <w:r>
        <w:rPr>
          <w:rFonts w:hint="eastAsia" w:ascii="仿宋_GB2312" w:hAnsi="仿宋_GB2312" w:eastAsia="仿宋_GB2312" w:cs="仿宋_GB2312"/>
          <w:color w:val="000000"/>
          <w:spacing w:val="0"/>
          <w:w w:val="100"/>
          <w:sz w:val="32"/>
          <w:szCs w:val="32"/>
          <w:lang w:eastAsia="zh-CN"/>
        </w:rPr>
        <w:t>会同有关部门</w:t>
      </w:r>
      <w:r>
        <w:rPr>
          <w:rFonts w:hint="eastAsia" w:ascii="仿宋_GB2312" w:hAnsi="仿宋_GB2312" w:eastAsia="仿宋_GB2312" w:cs="仿宋_GB2312"/>
          <w:color w:val="000000"/>
          <w:spacing w:val="0"/>
          <w:w w:val="100"/>
          <w:sz w:val="32"/>
          <w:szCs w:val="32"/>
        </w:rPr>
        <w:t>组织编写全民环境教育大纲。编制、修订环境教育大纲或者编写环境教育教材、读本，应当符合环境形势和环境保护的要求。</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全民环境教育大纲每五年修订一次。</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第三十六条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县级以上人民政府应当采取下列措施，推动环境教育工作：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（一）对国家机关、企业、事业单位、社会团体和其他组织开展的环境教育进行检查评估，督促落实环境教育规划、计划，并公布评估结果；</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（二）组织环境违法典型案件图片巡回展览，开展环境警示教育；</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（三）组织环境形势报告会，提高决策者的环境意识；</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（四）组织开展环境教育社会表彰，总结推广环境教育先进典型和经验，宣传环境保护示范单位；</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（五）组织开展国际交流与合作，推动社会参与环境保护事业；</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（六）维护社会公共环境权益；</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（七）其他推动环境教育工作的措施。</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both"/>
        <w:textAlignment w:val="auto"/>
        <w:outlineLvl w:val="9"/>
        <w:rPr>
          <w:rFonts w:hint="eastAsia" w:ascii="仿宋_GB2312" w:hAnsi="仿宋_GB2312" w:eastAsia="仿宋_GB2312" w:cs="仿宋_GB2312"/>
          <w:color w:val="000000"/>
          <w:spacing w:val="0"/>
          <w:w w:val="100"/>
          <w:sz w:val="32"/>
          <w:szCs w:val="32"/>
        </w:rPr>
      </w:pPr>
      <w:r>
        <w:rPr>
          <w:rFonts w:hint="eastAsia" w:ascii="仿宋_GB2312" w:hAnsi="仿宋_GB2312" w:eastAsia="仿宋_GB2312" w:cs="仿宋_GB2312"/>
          <w:color w:val="000000"/>
          <w:spacing w:val="0"/>
          <w:w w:val="100"/>
          <w:sz w:val="32"/>
          <w:szCs w:val="32"/>
        </w:rPr>
        <w:t>　　</w:t>
      </w:r>
      <w:r>
        <w:rPr>
          <w:rStyle w:val="9"/>
          <w:rFonts w:hint="eastAsia" w:ascii="黑体" w:hAnsi="黑体" w:eastAsia="黑体" w:cs="黑体"/>
          <w:b w:val="0"/>
          <w:bCs w:val="0"/>
          <w:color w:val="000000"/>
          <w:spacing w:val="0"/>
          <w:w w:val="100"/>
          <w:sz w:val="32"/>
          <w:szCs w:val="32"/>
        </w:rPr>
        <w:t>第三十七条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spacing w:val="0"/>
          <w:w w:val="100"/>
          <w:sz w:val="32"/>
          <w:szCs w:val="32"/>
        </w:rPr>
        <w:t>违反本条例规定，拒不开展或者不依法开展环境教育工作的单位，由县级以上人民政府予以通报批评。</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w w:val="100"/>
          <w:sz w:val="21"/>
          <w:szCs w:val="21"/>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Style w:val="9"/>
          <w:rFonts w:hint="eastAsia" w:ascii="黑体" w:hAnsi="黑体" w:eastAsia="黑体" w:cs="黑体"/>
          <w:b w:val="0"/>
          <w:bCs w:val="0"/>
          <w:color w:val="000000"/>
          <w:spacing w:val="0"/>
          <w:w w:val="100"/>
          <w:sz w:val="32"/>
          <w:szCs w:val="32"/>
        </w:rPr>
      </w:pPr>
      <w:r>
        <w:rPr>
          <w:rStyle w:val="9"/>
          <w:rFonts w:hint="eastAsia" w:ascii="黑体" w:hAnsi="黑体" w:eastAsia="黑体" w:cs="黑体"/>
          <w:b w:val="0"/>
          <w:bCs w:val="0"/>
          <w:color w:val="000000"/>
          <w:spacing w:val="0"/>
          <w:w w:val="100"/>
          <w:sz w:val="32"/>
          <w:szCs w:val="32"/>
        </w:rPr>
        <w:t>第六章</w:t>
      </w:r>
      <w:r>
        <w:rPr>
          <w:rStyle w:val="9"/>
          <w:rFonts w:hint="eastAsia" w:ascii="黑体" w:hAnsi="黑体" w:eastAsia="黑体" w:cs="黑体"/>
          <w:b w:val="0"/>
          <w:bCs w:val="0"/>
          <w:color w:val="000000"/>
          <w:spacing w:val="0"/>
          <w:w w:val="100"/>
          <w:sz w:val="32"/>
          <w:szCs w:val="32"/>
          <w:lang w:val="en-US" w:eastAsia="zh-CN"/>
        </w:rPr>
        <w:t xml:space="preserve">  </w:t>
      </w:r>
      <w:r>
        <w:rPr>
          <w:rStyle w:val="9"/>
          <w:rFonts w:hint="eastAsia" w:ascii="黑体" w:hAnsi="黑体" w:eastAsia="黑体" w:cs="黑体"/>
          <w:b w:val="0"/>
          <w:bCs w:val="0"/>
          <w:color w:val="000000"/>
          <w:spacing w:val="0"/>
          <w:w w:val="100"/>
          <w:sz w:val="32"/>
          <w:szCs w:val="32"/>
        </w:rPr>
        <w:t>附则</w:t>
      </w: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textAlignment w:val="auto"/>
        <w:outlineLvl w:val="9"/>
        <w:rPr>
          <w:rFonts w:hint="eastAsia" w:ascii="仿宋_GB2312" w:hAnsi="仿宋_GB2312" w:eastAsia="仿宋_GB2312" w:cs="仿宋_GB2312"/>
          <w:color w:val="000000"/>
          <w:spacing w:val="0"/>
          <w:w w:val="100"/>
          <w:sz w:val="21"/>
          <w:szCs w:val="21"/>
        </w:rPr>
      </w:pPr>
    </w:p>
    <w:p>
      <w:pPr>
        <w:pStyle w:val="11"/>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60" w:lineRule="exact"/>
        <w:ind w:left="0" w:leftChars="0" w:right="0" w:rightChars="0" w:firstLine="640"/>
        <w:textAlignment w:val="auto"/>
        <w:outlineLvl w:val="9"/>
        <w:rPr>
          <w:rFonts w:hint="eastAsia" w:ascii="仿宋_GB2312" w:hAnsi="仿宋_GB2312" w:eastAsia="仿宋_GB2312" w:cs="仿宋_GB2312"/>
          <w:color w:val="000000" w:themeColor="text1"/>
          <w:spacing w:val="0"/>
          <w:w w:val="100"/>
          <w:sz w:val="32"/>
          <w:szCs w:val="32"/>
          <w14:textFill>
            <w14:solidFill>
              <w14:schemeClr w14:val="tx1"/>
            </w14:solidFill>
          </w14:textFill>
        </w:rPr>
      </w:pPr>
      <w:r>
        <w:rPr>
          <w:rStyle w:val="9"/>
          <w:rFonts w:hint="eastAsia" w:ascii="黑体" w:hAnsi="黑体" w:eastAsia="黑体" w:cs="黑体"/>
          <w:b w:val="0"/>
          <w:bCs w:val="0"/>
          <w:color w:val="000000"/>
          <w:spacing w:val="0"/>
          <w:w w:val="100"/>
          <w:sz w:val="32"/>
          <w:szCs w:val="32"/>
        </w:rPr>
        <w:t>第三十八条</w:t>
      </w:r>
      <w:r>
        <w:rPr>
          <w:rFonts w:hint="eastAsia" w:ascii="仿宋_GB2312" w:hAnsi="仿宋_GB2312" w:eastAsia="仿宋_GB2312" w:cs="仿宋_GB2312"/>
          <w:color w:val="000000"/>
          <w:spacing w:val="0"/>
          <w:w w:val="100"/>
          <w:sz w:val="32"/>
          <w:szCs w:val="32"/>
          <w:lang w:val="en-US" w:eastAsia="zh-CN"/>
        </w:rPr>
        <w:t xml:space="preserve">  </w:t>
      </w:r>
      <w:r>
        <w:rPr>
          <w:rFonts w:hint="eastAsia" w:ascii="仿宋_GB2312" w:hAnsi="仿宋_GB2312" w:eastAsia="仿宋_GB2312" w:cs="仿宋_GB2312"/>
          <w:color w:val="000000" w:themeColor="text1"/>
          <w:spacing w:val="0"/>
          <w:w w:val="100"/>
          <w:sz w:val="32"/>
          <w:szCs w:val="32"/>
          <w14:textFill>
            <w14:solidFill>
              <w14:schemeClr w14:val="tx1"/>
            </w14:solidFill>
          </w14:textFill>
        </w:rPr>
        <w:t>本条例自2012年1月1日起施行。</w:t>
      </w:r>
      <w:bookmarkStart w:id="0" w:name="_GoBack"/>
      <w:bookmarkEnd w:id="0"/>
    </w:p>
    <w:sectPr>
      <w:footerReference r:id="rId3" w:type="default"/>
      <w:pgSz w:w="11906" w:h="16838"/>
      <w:pgMar w:top="1984" w:right="1587" w:bottom="1474" w:left="1587" w:header="851" w:footer="1134"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Tahoma">
    <w:panose1 w:val="020B0604030504040204"/>
    <w:charset w:val="00"/>
    <w:family w:val="modern"/>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74F81"/>
    <w:rsid w:val="020B363A"/>
    <w:rsid w:val="03407F08"/>
    <w:rsid w:val="08732B09"/>
    <w:rsid w:val="0BE33747"/>
    <w:rsid w:val="0CD67AD9"/>
    <w:rsid w:val="11082D9F"/>
    <w:rsid w:val="11477CCE"/>
    <w:rsid w:val="11FE7C1D"/>
    <w:rsid w:val="1469656F"/>
    <w:rsid w:val="14930ABA"/>
    <w:rsid w:val="1589324F"/>
    <w:rsid w:val="18733D6D"/>
    <w:rsid w:val="18BE44BF"/>
    <w:rsid w:val="1B281EB8"/>
    <w:rsid w:val="1BC2564B"/>
    <w:rsid w:val="21521F25"/>
    <w:rsid w:val="25162103"/>
    <w:rsid w:val="25B73290"/>
    <w:rsid w:val="27693FA9"/>
    <w:rsid w:val="2B6940FF"/>
    <w:rsid w:val="2D750C28"/>
    <w:rsid w:val="31C032E1"/>
    <w:rsid w:val="39D853BD"/>
    <w:rsid w:val="3C4330F6"/>
    <w:rsid w:val="41092883"/>
    <w:rsid w:val="41A218E9"/>
    <w:rsid w:val="47004EBC"/>
    <w:rsid w:val="479F2796"/>
    <w:rsid w:val="4B6B5575"/>
    <w:rsid w:val="4E7A1209"/>
    <w:rsid w:val="522A15CD"/>
    <w:rsid w:val="52B556EA"/>
    <w:rsid w:val="52F27533"/>
    <w:rsid w:val="54C469C0"/>
    <w:rsid w:val="5A436CEC"/>
    <w:rsid w:val="5A5D11EF"/>
    <w:rsid w:val="5AAC541A"/>
    <w:rsid w:val="5CB73349"/>
    <w:rsid w:val="5DC41499"/>
    <w:rsid w:val="5E753CCF"/>
    <w:rsid w:val="5EBE1F7F"/>
    <w:rsid w:val="695D72C0"/>
    <w:rsid w:val="6E174F81"/>
    <w:rsid w:val="723F63DE"/>
    <w:rsid w:val="795D31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HAnsi" w:hAnsiTheme="minorHAnsi" w:cstheme="minorBidi"/>
      <w:kern w:val="2"/>
      <w:sz w:val="21"/>
      <w:szCs w:val="22"/>
      <w:lang w:val="en-US" w:eastAsia="zh-CN"/>
    </w:rPr>
  </w:style>
  <w:style w:type="character" w:default="1" w:styleId="7">
    <w:name w:val="Default Paragraph Font"/>
    <w:link w:val="8"/>
    <w:semiHidden/>
    <w:qFormat/>
    <w:uiPriority w:val="0"/>
    <w:rPr>
      <w:rFonts w:ascii="Tahoma" w:hAnsi="Tahoma"/>
      <w:sz w:val="24"/>
    </w:rPr>
  </w:style>
  <w:style w:type="table" w:default="1" w:styleId="6">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Plain Text"/>
    <w:basedOn w:val="1"/>
    <w:qFormat/>
    <w:uiPriority w:val="0"/>
    <w:rPr>
      <w:rFonts w:ascii="宋体" w:hAnsi="Courier New" w:cs="Courier New"/>
      <w:szCs w:val="21"/>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 Char"/>
    <w:basedOn w:val="1"/>
    <w:link w:val="7"/>
    <w:qFormat/>
    <w:uiPriority w:val="0"/>
    <w:rPr>
      <w:rFonts w:ascii="Tahoma" w:hAnsi="Tahoma"/>
      <w:sz w:val="24"/>
    </w:rPr>
  </w:style>
  <w:style w:type="character" w:styleId="9">
    <w:name w:val="Strong"/>
    <w:basedOn w:val="7"/>
    <w:qFormat/>
    <w:uiPriority w:val="0"/>
    <w:rPr>
      <w:b/>
      <w:bCs/>
    </w:rPr>
  </w:style>
  <w:style w:type="paragraph" w:customStyle="1" w:styleId="10">
    <w:name w:val="列出段落1"/>
    <w:basedOn w:val="1"/>
    <w:unhideWhenUsed/>
    <w:qFormat/>
    <w:uiPriority w:val="99"/>
    <w:pPr>
      <w:ind w:firstLine="420" w:firstLineChars="200"/>
    </w:pPr>
  </w:style>
  <w:style w:type="paragraph" w:customStyle="1" w:styleId="11">
    <w:name w:val="p0"/>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2020-11-25T00:45:00Z</dcterms:created>
  <dc:creator>Win</dc:creator>
  <cp:lastModifiedBy>婷婷</cp:lastModifiedBy>
  <cp:lastPrinted>2021-04-07T08:13:00Z</cp:lastPrinted>
  <dcterms:modified xsi:type="dcterms:W3CDTF">2021-04-12T07:53:40Z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