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auto"/>
        <w:outlineLvl w:val="9"/>
        <w:rPr>
          <w:rFonts w:hint="default" w:ascii="Times New Roman" w:hAnsi="Times New Roman" w:eastAsia="方正黑体_GBK" w:cs="Times New Roman"/>
          <w:spacing w:val="0"/>
          <w:w w:val="100"/>
          <w:sz w:val="32"/>
          <w:szCs w:val="32"/>
        </w:rPr>
      </w:pPr>
      <w:r>
        <w:rPr>
          <w:rFonts w:hint="default" w:ascii="Times New Roman" w:hAnsi="Times New Roman" w:eastAsia="方正黑体_GBK" w:cs="Times New Roman"/>
          <w:spacing w:val="0"/>
          <w:w w:val="100"/>
          <w:sz w:val="28"/>
          <w:szCs w:val="28"/>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pacing w:val="0"/>
          <w:sz w:val="44"/>
          <w:szCs w:val="44"/>
          <w:lang w:val="en-US" w:eastAsia="zh-CN"/>
        </w:rPr>
      </w:pPr>
      <w:r>
        <w:rPr>
          <w:rFonts w:hint="default" w:ascii="Times New Roman" w:hAnsi="Times New Roman" w:cs="Times New Roman"/>
          <w:spacing w:val="0"/>
          <w:w w:val="100"/>
          <w:sz w:val="28"/>
        </w:rPr>
        <mc:AlternateContent>
          <mc:Choice Requires="wps">
            <w:drawing>
              <wp:anchor distT="0" distB="0" distL="114300" distR="114300" simplePos="0" relativeHeight="251659264" behindDoc="0" locked="0" layoutInCell="1" allowOverlap="1">
                <wp:simplePos x="0" y="0"/>
                <wp:positionH relativeFrom="column">
                  <wp:posOffset>7722870</wp:posOffset>
                </wp:positionH>
                <wp:positionV relativeFrom="paragraph">
                  <wp:posOffset>294640</wp:posOffset>
                </wp:positionV>
                <wp:extent cx="1790700" cy="971550"/>
                <wp:effectExtent l="4445" t="4445" r="14605" b="14605"/>
                <wp:wrapNone/>
                <wp:docPr id="4" name="文本框 4"/>
                <wp:cNvGraphicFramePr/>
                <a:graphic xmlns:a="http://schemas.openxmlformats.org/drawingml/2006/main">
                  <a:graphicData uri="http://schemas.microsoft.com/office/word/2010/wordprocessingShape">
                    <wps:wsp>
                      <wps:cNvSpPr txBox="1"/>
                      <wps:spPr>
                        <a:xfrm>
                          <a:off x="4427855" y="1268095"/>
                          <a:ext cx="1790700" cy="971550"/>
                        </a:xfrm>
                        <a:prstGeom prst="rect">
                          <a:avLst/>
                        </a:prstGeom>
                        <a:solidFill>
                          <a:srgbClr val="FFFFFF"/>
                        </a:solidFill>
                        <a:ln w="6350">
                          <a:solidFill>
                            <a:prstClr val="black"/>
                          </a:solidFill>
                        </a:ln>
                        <a:effectLst/>
                      </wps:spPr>
                      <wps:txbx>
                        <w:txbxContent>
                          <w:p>
                            <w:pPr>
                              <w:rPr>
                                <w:rFonts w:hint="eastAsia" w:eastAsia="仿宋_GB2312"/>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8.1pt;margin-top:23.2pt;height:76.5pt;width:141pt;z-index:251659264;mso-width-relative:page;mso-height-relative:page;" fillcolor="#FFFFFF" filled="t" stroked="t" coordsize="21600,21600" o:gfxdata="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gTAkM2AAAAAwBAAAPAAAAAAAAAAEAIAAAACIAAABkcnMvZG93bnJldi54&#10;bWxQSwECFAAUAAAACACHTuJAVoPlE2wCAADRBAAADgAAAAAAAAABACAAAAAnAQAAZHJzL2Uyb0Rv&#10;Yy54bWxQSwUGAAAAAAYABgBZAQAABQYAAAAA&#10;">
                <v:fill on="t" focussize="0,0"/>
                <v:stroke weight="0.5pt" color="#000000" joinstyle="round"/>
                <v:imagedata o:title=""/>
                <o:lock v:ext="edit" aspectratio="f"/>
                <v:textbox>
                  <w:txbxContent>
                    <w:p>
                      <w:pPr>
                        <w:rPr>
                          <w:rFonts w:hint="eastAsia" w:eastAsia="仿宋_GB2312"/>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640" w:lineRule="exact"/>
        <w:ind w:right="0" w:right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宁德市人民代表大会常务委员会关于</w:t>
      </w:r>
    </w:p>
    <w:p>
      <w:pPr>
        <w:keepNext w:val="0"/>
        <w:keepLines w:val="0"/>
        <w:pageBreakBefore w:val="0"/>
        <w:widowControl w:val="0"/>
        <w:kinsoku/>
        <w:wordWrap/>
        <w:overflowPunct/>
        <w:topLinePunct w:val="0"/>
        <w:autoSpaceDE/>
        <w:autoSpaceDN/>
        <w:bidi w:val="0"/>
        <w:adjustRightInd/>
        <w:snapToGrid/>
        <w:spacing w:line="640" w:lineRule="exact"/>
        <w:ind w:right="0" w:right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加强闽江流域水生态环境协同保护的决定</w:t>
      </w:r>
    </w:p>
    <w:p>
      <w:pPr>
        <w:keepNext w:val="0"/>
        <w:keepLines w:val="0"/>
        <w:pageBreakBefore w:val="0"/>
        <w:widowControl w:val="0"/>
        <w:kinsoku/>
        <w:wordWrap/>
        <w:overflowPunct/>
        <w:topLinePunct w:val="0"/>
        <w:autoSpaceDE w:val="0"/>
        <w:autoSpaceDN/>
        <w:bidi w:val="0"/>
        <w:adjustRightInd w:val="0"/>
        <w:snapToGrid w:val="0"/>
        <w:spacing w:before="220" w:beforeLines="50" w:line="560" w:lineRule="exact"/>
        <w:jc w:val="both"/>
        <w:textAlignment w:val="auto"/>
        <w:rPr>
          <w:rFonts w:hint="eastAsia" w:ascii="楷体_GB2312" w:hAnsi="楷体_GB2312" w:eastAsia="楷体_GB2312" w:cs="楷体_GB2312"/>
          <w:i w:val="0"/>
          <w:iCs w:val="0"/>
          <w:strike w:val="0"/>
          <w:dstrike w:val="0"/>
          <w:spacing w:val="0"/>
          <w:sz w:val="32"/>
          <w:szCs w:val="32"/>
          <w:lang w:val="en-US" w:eastAsia="zh-CN"/>
        </w:rPr>
      </w:pPr>
      <w:r>
        <w:rPr>
          <w:rFonts w:hint="eastAsia" w:ascii="楷体_GB2312" w:hAnsi="楷体_GB2312" w:eastAsia="楷体_GB2312" w:cs="楷体_GB2312"/>
          <w:i w:val="0"/>
          <w:iCs w:val="0"/>
          <w:strike w:val="0"/>
          <w:dstrike w:val="0"/>
          <w:spacing w:val="0"/>
          <w:sz w:val="32"/>
          <w:szCs w:val="32"/>
          <w:lang w:eastAsia="zh-CN"/>
        </w:rPr>
        <w:t>（</w:t>
      </w:r>
      <w:r>
        <w:rPr>
          <w:rFonts w:hint="eastAsia" w:ascii="楷体_GB2312" w:hAnsi="楷体_GB2312" w:eastAsia="楷体_GB2312" w:cs="楷体_GB2312"/>
          <w:i w:val="0"/>
          <w:iCs w:val="0"/>
          <w:strike w:val="0"/>
          <w:dstrike w:val="0"/>
          <w:spacing w:val="0"/>
          <w:sz w:val="32"/>
          <w:szCs w:val="32"/>
          <w:lang w:val="en-US" w:eastAsia="zh-CN"/>
        </w:rPr>
        <w:t>2022年8月11日宁德市第五届人民代表大会常务委员会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spacing w:val="0"/>
          <w:sz w:val="32"/>
          <w:lang w:val="en-US" w:eastAsia="zh-CN"/>
        </w:rPr>
      </w:pPr>
      <w:r>
        <w:rPr>
          <w:rFonts w:hint="eastAsia" w:ascii="楷体_GB2312" w:hAnsi="楷体_GB2312" w:eastAsia="楷体_GB2312" w:cs="楷体_GB2312"/>
          <w:i w:val="0"/>
          <w:iCs w:val="0"/>
          <w:strike w:val="0"/>
          <w:dstrike w:val="0"/>
          <w:spacing w:val="0"/>
          <w:sz w:val="32"/>
          <w:szCs w:val="32"/>
          <w:lang w:val="en-US" w:eastAsia="zh-CN"/>
        </w:rPr>
        <w:t xml:space="preserve">第五次会议通过  </w:t>
      </w:r>
      <w:r>
        <w:rPr>
          <w:rFonts w:hint="eastAsia" w:ascii="楷体_GB2312" w:hAnsi="楷体_GB2312" w:eastAsia="楷体_GB2312" w:cs="楷体_GB2312"/>
          <w:spacing w:val="0"/>
          <w:sz w:val="32"/>
          <w:lang w:val="en-US" w:eastAsia="zh-CN"/>
        </w:rPr>
        <w:t>2022年9月28日福建省第十三届人民代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楷体_GB2312" w:hAnsi="楷体_GB2312" w:eastAsia="楷体_GB2312" w:cs="楷体_GB2312"/>
          <w:i w:val="0"/>
          <w:iCs w:val="0"/>
          <w:strike w:val="0"/>
          <w:dstrike w:val="0"/>
          <w:spacing w:val="0"/>
          <w:sz w:val="32"/>
          <w:szCs w:val="32"/>
          <w:lang w:eastAsia="zh-CN"/>
        </w:rPr>
      </w:pPr>
      <w:r>
        <w:rPr>
          <w:rFonts w:hint="eastAsia" w:ascii="楷体_GB2312" w:hAnsi="楷体_GB2312" w:eastAsia="楷体_GB2312" w:cs="楷体_GB2312"/>
          <w:spacing w:val="0"/>
          <w:sz w:val="32"/>
          <w:lang w:val="en-US" w:eastAsia="zh-CN"/>
        </w:rPr>
        <w:t>表大会常务委员会第三十五次会议批准</w:t>
      </w:r>
      <w:r>
        <w:rPr>
          <w:rFonts w:hint="eastAsia" w:ascii="楷体_GB2312" w:hAnsi="楷体_GB2312" w:eastAsia="楷体_GB2312" w:cs="楷体_GB2312"/>
          <w:spacing w:val="0"/>
          <w:sz w:val="32"/>
          <w:vertAlign w:val="baseline"/>
          <w:lang w:eastAsia="zh-CN"/>
        </w:rPr>
        <w:t>）</w:t>
      </w:r>
    </w:p>
    <w:p>
      <w:pPr>
        <w:pStyle w:val="11"/>
        <w:keepNext w:val="0"/>
        <w:keepLines w:val="0"/>
        <w:pageBreakBefore w:val="0"/>
        <w:widowControl w:val="0"/>
        <w:kinsoku/>
        <w:wordWrap/>
        <w:overflowPunct/>
        <w:topLinePunct w:val="0"/>
        <w:autoSpaceDN/>
        <w:bidi w:val="0"/>
        <w:spacing w:line="560" w:lineRule="exact"/>
        <w:textAlignment w:val="auto"/>
        <w:rPr>
          <w:rFonts w:hint="eastAsia"/>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为了深入贯彻习近平生态文明思想，深化国家生态文明试验区建设，持续保护和改善闽江流域水生态环境，推进流域水生态环境跨行政区域协同保护，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一、市人民政府与福州、</w:t>
      </w:r>
      <w:r>
        <w:rPr>
          <w:rFonts w:hint="eastAsia" w:ascii="仿宋_GB2312" w:hAnsi="仿宋_GB2312" w:eastAsia="仿宋_GB2312" w:cs="仿宋_GB2312"/>
          <w:spacing w:val="0"/>
          <w:sz w:val="32"/>
          <w:szCs w:val="32"/>
          <w:lang w:eastAsia="zh-CN"/>
        </w:rPr>
        <w:t>南平、三明、泉州、龙岩、莆田市人民政府</w:t>
      </w:r>
      <w:r>
        <w:rPr>
          <w:rFonts w:hint="eastAsia" w:ascii="仿宋_GB2312" w:hAnsi="仿宋_GB2312" w:eastAsia="仿宋_GB2312" w:cs="仿宋_GB2312"/>
          <w:spacing w:val="0"/>
          <w:sz w:val="32"/>
          <w:szCs w:val="32"/>
          <w:lang w:val="en-US" w:eastAsia="zh-CN"/>
        </w:rPr>
        <w:t>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二、市人民政府与福州、</w:t>
      </w:r>
      <w:r>
        <w:rPr>
          <w:rFonts w:hint="eastAsia" w:ascii="仿宋_GB2312" w:hAnsi="仿宋_GB2312" w:eastAsia="仿宋_GB2312" w:cs="仿宋_GB2312"/>
          <w:spacing w:val="0"/>
          <w:sz w:val="32"/>
          <w:szCs w:val="32"/>
          <w:lang w:eastAsia="zh-CN"/>
        </w:rPr>
        <w:t>南平、三明、泉州、龙岩、莆田市人民政府</w:t>
      </w:r>
      <w:r>
        <w:rPr>
          <w:rFonts w:hint="eastAsia" w:ascii="仿宋_GB2312" w:hAnsi="仿宋_GB2312" w:eastAsia="仿宋_GB2312" w:cs="仿宋_GB2312"/>
          <w:spacing w:val="0"/>
          <w:sz w:val="32"/>
          <w:szCs w:val="32"/>
          <w:lang w:val="en-US" w:eastAsia="zh-CN"/>
        </w:rPr>
        <w:t>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本市制定地方性法规、政府规章和市政府规范性文件，涉及闽江流域水生态环境保护的，应当与福州、南平、三明、泉州、龙岩、莆田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本市在编制涉及闽江流域水生态环境保护相关专项规划时，应当严格落实国家和省有关规划和管控要求，加强与福州、南平、三明、泉州、龙岩、莆田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五、市人民政府及其有关部门与福州、南平、三明、泉州、龙岩、莆田市人民政府及其有关部门健全闽江流域水生态环境信息共享系统，推进流域水生态环境、资源、自然灾害等数据互通共享。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六、市人民政府与福州、南平、三明、泉州、龙岩、莆田市人民政府建立闽江流域联合河湖长制，联合会商跨行政区域河湖保护问题，定期开展联合巡查工作，共同承担管理保护责任。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市人民政府与福州、南平、三明、泉州、龙岩、莆田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市人民政府与福州、南平、三明、泉州、龙岩、莆田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市水行政、生态环境等主管部门与福州、南平、三明、泉州、龙岩、莆田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市生态环境、水行政等主管部门与福州、南平、三明、泉州、龙岩、莆田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一、市生态环境、城乡建设等主管部门与福州、南平、三明、泉州、龙岩、莆田市有关部门，加强闽江流域跨行政区域水污染联防联控，统筹流域城乡污水集中处理设施以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11"/>
          <w:sz w:val="32"/>
          <w:szCs w:val="32"/>
          <w:lang w:val="en-US" w:eastAsia="zh-CN"/>
        </w:rPr>
      </w:pPr>
      <w:r>
        <w:rPr>
          <w:rFonts w:hint="eastAsia" w:ascii="仿宋_GB2312" w:hAnsi="仿宋_GB2312" w:eastAsia="仿宋_GB2312" w:cs="仿宋_GB2312"/>
          <w:spacing w:val="0"/>
          <w:sz w:val="32"/>
          <w:szCs w:val="32"/>
          <w:lang w:val="en-US" w:eastAsia="zh-CN"/>
        </w:rPr>
        <w:t>十二、</w:t>
      </w:r>
      <w:r>
        <w:rPr>
          <w:rFonts w:hint="eastAsia" w:ascii="仿宋_GB2312" w:hAnsi="仿宋_GB2312" w:eastAsia="仿宋_GB2312" w:cs="仿宋_GB2312"/>
          <w:spacing w:val="-11"/>
          <w:sz w:val="32"/>
          <w:szCs w:val="32"/>
          <w:lang w:val="en-US" w:eastAsia="zh-CN"/>
        </w:rPr>
        <w:t>市生态环境、水行政、交通等主管部门与福州、南平、三明、泉州、龙岩、莆田市有关部门，完善闽江流域跨行政区域、生态敏感区域以及重大违法案件的执法程序、裁量基准和处罚标准。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三、本市司法机关与福州、南平、三明、泉州、龙岩、莆田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四、市人民代表大会常务委员会与福州、南平、三明、泉州、龙岩、莆田市人民代表大会常务委员会建立监督协作机制，协同定期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五、本市各国家机关和有关方面应当积极宣传闽江流域水生态环境协同保护的政策举措，充分利用报刊、电视、广播、互联网等媒体，广泛动员社会各方力量，群策群力、群防群治，引导全社会增强法治意识、生态意识、环保意识，营造闽江流域水生态环境保护的良好社会氛围。</w:t>
      </w:r>
    </w:p>
    <w:p>
      <w:pPr>
        <w:keepNext w:val="0"/>
        <w:keepLines w:val="0"/>
        <w:pageBreakBefore w:val="0"/>
        <w:widowControl w:val="0"/>
        <w:tabs>
          <w:tab w:val="left" w:pos="7560"/>
          <w:tab w:val="left" w:pos="7920"/>
        </w:tabs>
        <w:kinsoku/>
        <w:wordWrap/>
        <w:overflowPunct/>
        <w:topLinePunct w:val="0"/>
        <w:autoSpaceDE/>
        <w:autoSpaceDN/>
        <w:bidi w:val="0"/>
        <w:adjustRightInd/>
        <w:snapToGrid/>
        <w:spacing w:line="600" w:lineRule="exact"/>
        <w:ind w:right="22" w:rightChars="7"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pacing w:val="0"/>
          <w:sz w:val="32"/>
          <w:szCs w:val="32"/>
          <w:lang w:val="en-US" w:eastAsia="zh-CN"/>
        </w:rPr>
        <w:t>十六、本决定自公布之日起施行。</w:t>
      </w:r>
    </w:p>
    <w:p>
      <w:pPr>
        <w:keepNext w:val="0"/>
        <w:keepLines w:val="0"/>
        <w:pageBreakBefore w:val="0"/>
        <w:widowControl w:val="0"/>
        <w:tabs>
          <w:tab w:val="left" w:pos="7560"/>
          <w:tab w:val="left" w:pos="7920"/>
        </w:tabs>
        <w:kinsoku/>
        <w:wordWrap w:val="0"/>
        <w:overflowPunct/>
        <w:topLinePunct w:val="0"/>
        <w:autoSpaceDE/>
        <w:autoSpaceDN/>
        <w:bidi w:val="0"/>
        <w:adjustRightInd/>
        <w:snapToGrid/>
        <w:spacing w:line="560" w:lineRule="exact"/>
        <w:ind w:right="22" w:rightChars="7"/>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小标宋简体">
    <w:altName w:val="方正舒体"/>
    <w:panose1 w:val="02010601030101010101"/>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0FD22F73"/>
    <w:rsid w:val="106A0860"/>
    <w:rsid w:val="11CA42BF"/>
    <w:rsid w:val="11DB3BC7"/>
    <w:rsid w:val="13627167"/>
    <w:rsid w:val="141E1FEA"/>
    <w:rsid w:val="14A85100"/>
    <w:rsid w:val="14BC2210"/>
    <w:rsid w:val="150053B4"/>
    <w:rsid w:val="1674344E"/>
    <w:rsid w:val="1B29246B"/>
    <w:rsid w:val="1C534715"/>
    <w:rsid w:val="1C9D2956"/>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7F35F16"/>
    <w:rsid w:val="38CC309F"/>
    <w:rsid w:val="3A1622AC"/>
    <w:rsid w:val="3BFE65C5"/>
    <w:rsid w:val="3D2C6034"/>
    <w:rsid w:val="3F7B2D77"/>
    <w:rsid w:val="3FA46663"/>
    <w:rsid w:val="413D6D29"/>
    <w:rsid w:val="41732B5F"/>
    <w:rsid w:val="423069FA"/>
    <w:rsid w:val="43BD3F57"/>
    <w:rsid w:val="44321CAE"/>
    <w:rsid w:val="46464C89"/>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A82A4C"/>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6FF6A72"/>
    <w:rsid w:val="77BA047C"/>
    <w:rsid w:val="78D70437"/>
    <w:rsid w:val="79CF543E"/>
    <w:rsid w:val="79DE5089"/>
    <w:rsid w:val="7B6D1F22"/>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paragraph" w:styleId="16">
    <w:name w:val="Body Text First Indent 2"/>
    <w:basedOn w:val="1"/>
    <w:next w:val="1"/>
    <w:unhideWhenUsed/>
    <w:qFormat/>
    <w:uiPriority w:val="99"/>
    <w:pPr>
      <w:ind w:firstLine="420" w:firstLineChars="200"/>
    </w:pPr>
  </w:style>
  <w:style w:type="character" w:styleId="19">
    <w:name w:val="page number"/>
    <w:basedOn w:val="18"/>
    <w:qFormat/>
    <w:uiPriority w:val="0"/>
  </w:style>
  <w:style w:type="character" w:styleId="20">
    <w:name w:val="Hyperlink"/>
    <w:basedOn w:val="18"/>
    <w:qFormat/>
    <w:uiPriority w:val="0"/>
    <w:rPr>
      <w:rFonts w:ascii="Calibri" w:hAnsi="Calibri" w:eastAsia="宋体" w:cs="Times New Roman"/>
      <w:color w:val="000000"/>
      <w:u w:val="none"/>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8"/>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1817</Words>
  <Characters>1825</Characters>
  <Lines>1</Lines>
  <Paragraphs>1</Paragraphs>
  <TotalTime>0</TotalTime>
  <ScaleCrop>false</ScaleCrop>
  <LinksUpToDate>false</LinksUpToDate>
  <CharactersWithSpaces>1841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PC400</cp:lastModifiedBy>
  <cp:lastPrinted>2022-08-18T17:38:00Z</cp:lastPrinted>
  <dcterms:modified xsi:type="dcterms:W3CDTF">2022-11-01T10:09:47Z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AFDDBF410D4C46E782DC4D35741C504F</vt:lpwstr>
  </property>
</Properties>
</file>