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34B5" w:rsidRDefault="00B934B5" w:rsidP="001C2DA2">
      <w:pPr>
        <w:adjustRightInd w:val="0"/>
        <w:spacing w:line="240" w:lineRule="auto"/>
        <w:jc w:val="center"/>
        <w:rPr>
          <w:rFonts w:asciiTheme="majorEastAsia" w:eastAsiaTheme="majorEastAsia" w:hAnsiTheme="majorEastAsia" w:hint="eastAsia"/>
          <w:snapToGrid w:val="0"/>
          <w:szCs w:val="32"/>
        </w:rPr>
      </w:pPr>
    </w:p>
    <w:p w:rsidR="00B934B5" w:rsidRPr="00B934B5" w:rsidRDefault="00B934B5" w:rsidP="001C2DA2">
      <w:pPr>
        <w:adjustRightInd w:val="0"/>
        <w:spacing w:line="240" w:lineRule="auto"/>
        <w:jc w:val="center"/>
        <w:rPr>
          <w:rFonts w:asciiTheme="majorEastAsia" w:eastAsiaTheme="majorEastAsia" w:hAnsiTheme="majorEastAsia" w:hint="eastAsia"/>
          <w:snapToGrid w:val="0"/>
          <w:szCs w:val="32"/>
        </w:rPr>
      </w:pPr>
    </w:p>
    <w:p w:rsidR="00B934B5" w:rsidRPr="00B934B5" w:rsidRDefault="00B934B5" w:rsidP="001C2DA2">
      <w:pPr>
        <w:adjustRightInd w:val="0"/>
        <w:spacing w:line="240" w:lineRule="auto"/>
        <w:jc w:val="center"/>
        <w:rPr>
          <w:rFonts w:asciiTheme="majorEastAsia" w:eastAsiaTheme="majorEastAsia" w:hAnsiTheme="majorEastAsia" w:hint="eastAsia"/>
          <w:snapToGrid w:val="0"/>
          <w:sz w:val="44"/>
          <w:szCs w:val="44"/>
        </w:rPr>
      </w:pPr>
      <w:r w:rsidRPr="00B934B5">
        <w:rPr>
          <w:rFonts w:asciiTheme="majorEastAsia" w:eastAsiaTheme="majorEastAsia" w:hAnsiTheme="majorEastAsia" w:hint="eastAsia"/>
          <w:snapToGrid w:val="0"/>
          <w:sz w:val="44"/>
          <w:szCs w:val="44"/>
        </w:rPr>
        <w:t>宁波市</w:t>
      </w:r>
      <w:proofErr w:type="gramStart"/>
      <w:r w:rsidRPr="00B934B5">
        <w:rPr>
          <w:rFonts w:asciiTheme="majorEastAsia" w:eastAsiaTheme="majorEastAsia" w:hAnsiTheme="majorEastAsia" w:hint="eastAsia"/>
          <w:snapToGrid w:val="0"/>
          <w:sz w:val="44"/>
          <w:szCs w:val="44"/>
        </w:rPr>
        <w:t>韭</w:t>
      </w:r>
      <w:proofErr w:type="gramEnd"/>
      <w:r w:rsidRPr="00B934B5">
        <w:rPr>
          <w:rFonts w:asciiTheme="majorEastAsia" w:eastAsiaTheme="majorEastAsia" w:hAnsiTheme="majorEastAsia" w:hint="eastAsia"/>
          <w:snapToGrid w:val="0"/>
          <w:sz w:val="44"/>
          <w:szCs w:val="44"/>
        </w:rPr>
        <w:t>山列岛海洋生态自然保护区条例</w:t>
      </w:r>
    </w:p>
    <w:p w:rsidR="00B934B5" w:rsidRPr="001C2DA2" w:rsidRDefault="00B934B5" w:rsidP="001C2DA2">
      <w:pPr>
        <w:adjustRightInd w:val="0"/>
        <w:spacing w:line="240" w:lineRule="auto"/>
        <w:ind w:firstLineChars="350" w:firstLine="1099"/>
        <w:rPr>
          <w:rFonts w:asciiTheme="majorEastAsia" w:eastAsiaTheme="majorEastAsia" w:hAnsiTheme="majorEastAsia" w:hint="eastAsia"/>
          <w:snapToGrid w:val="0"/>
          <w:szCs w:val="32"/>
        </w:rPr>
      </w:pPr>
    </w:p>
    <w:p w:rsidR="00B934B5" w:rsidRPr="00B934B5" w:rsidRDefault="00B934B5" w:rsidP="001C2DA2">
      <w:pPr>
        <w:autoSpaceDE w:val="0"/>
        <w:autoSpaceDN w:val="0"/>
        <w:adjustRightInd w:val="0"/>
        <w:spacing w:line="240" w:lineRule="auto"/>
        <w:ind w:leftChars="200" w:left="628" w:rightChars="200" w:right="628"/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</w:pPr>
      <w:r w:rsidRPr="00B934B5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8"/>
          <w:attr w:name="Month" w:val="9"/>
          <w:attr w:name="Year" w:val="2006"/>
        </w:smartTagPr>
        <w:r w:rsidRPr="00B934B5">
          <w:rPr>
            <w:rFonts w:ascii="楷体_GB2312" w:eastAsia="楷体_GB2312" w:hAnsiTheme="minorEastAsia" w:cs="仿宋_GB2312" w:hint="eastAsia"/>
            <w:color w:val="000000"/>
            <w:kern w:val="0"/>
            <w:szCs w:val="21"/>
            <w:lang w:val="zh-CN"/>
          </w:rPr>
          <w:t>2006年9月28日</w:t>
        </w:r>
      </w:smartTag>
      <w:r w:rsidRPr="00B934B5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宁波市第十二届人民代表大会常务委员会第三十二次会议通过  2006年11月30日浙江省第十届人民代表大会常务委员会第二十八次会议批准</w:t>
      </w:r>
      <w:r w:rsidRPr="00B934B5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 xml:space="preserve">  </w:t>
      </w:r>
      <w:r w:rsidRPr="00B934B5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根据2017年10月24日宁波市第十五届人民代表大会常务委员会第五次会议通过</w:t>
      </w:r>
      <w:r w:rsidRPr="00B934B5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 xml:space="preserve">  </w:t>
      </w:r>
      <w:r w:rsidRPr="00B934B5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2017年11月30日浙江省第十二届人民代表大会常务委员会第四十五次会议批准的《宁波市人民代表大会常务委员会关于修改〈宁波市韭山列岛海洋生态自然保护区条例〉的决定》修改）</w:t>
      </w:r>
    </w:p>
    <w:p w:rsidR="00B934B5" w:rsidRPr="00562372" w:rsidRDefault="00B934B5" w:rsidP="001C2DA2">
      <w:pPr>
        <w:spacing w:line="240" w:lineRule="auto"/>
        <w:ind w:firstLineChars="200" w:firstLine="628"/>
        <w:rPr>
          <w:rFonts w:ascii="楷体_GB2312" w:eastAsia="楷体_GB2312" w:hint="eastAsia"/>
          <w:szCs w:val="32"/>
        </w:rPr>
      </w:pPr>
      <w:bookmarkStart w:id="0" w:name="_GoBack"/>
      <w:bookmarkEnd w:id="0"/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</w:rPr>
      </w:pPr>
      <w:r w:rsidRPr="00562372">
        <w:rPr>
          <w:rFonts w:ascii="黑体" w:eastAsia="黑体" w:hint="eastAsia"/>
          <w:snapToGrid w:val="0"/>
          <w:szCs w:val="32"/>
        </w:rPr>
        <w:t xml:space="preserve">第一条  </w:t>
      </w:r>
      <w:r w:rsidRPr="00562372">
        <w:rPr>
          <w:rFonts w:ascii="仿宋_GB2312" w:hint="eastAsia"/>
          <w:snapToGrid w:val="0"/>
          <w:szCs w:val="32"/>
          <w:lang w:val="zh-CN"/>
        </w:rPr>
        <w:t>为了保护</w:t>
      </w:r>
      <w:proofErr w:type="gramStart"/>
      <w:r w:rsidRPr="00562372">
        <w:rPr>
          <w:rFonts w:ascii="仿宋_GB2312" w:hint="eastAsia"/>
          <w:snapToGrid w:val="0"/>
          <w:szCs w:val="32"/>
          <w:lang w:val="zh-CN"/>
        </w:rPr>
        <w:t>韭</w:t>
      </w:r>
      <w:proofErr w:type="gramEnd"/>
      <w:r w:rsidRPr="00562372">
        <w:rPr>
          <w:rFonts w:ascii="仿宋_GB2312" w:hint="eastAsia"/>
          <w:snapToGrid w:val="0"/>
          <w:szCs w:val="32"/>
          <w:lang w:val="zh-CN"/>
        </w:rPr>
        <w:t>山列岛海洋生态自然保护区的生态环境，促进海洋科学研究和海洋经济的可持续发展，根据《中华人民共和国海洋环境保护法》、《中华人民共和国自然保护区条例》等有关法律、法规，结合</w:t>
      </w:r>
      <w:proofErr w:type="gramStart"/>
      <w:r w:rsidRPr="00562372">
        <w:rPr>
          <w:rFonts w:ascii="仿宋_GB2312" w:hint="eastAsia"/>
          <w:snapToGrid w:val="0"/>
          <w:szCs w:val="32"/>
          <w:lang w:val="zh-CN"/>
        </w:rPr>
        <w:t>韭</w:t>
      </w:r>
      <w:proofErr w:type="gramEnd"/>
      <w:r w:rsidRPr="00562372">
        <w:rPr>
          <w:rFonts w:ascii="仿宋_GB2312" w:hint="eastAsia"/>
          <w:snapToGrid w:val="0"/>
          <w:szCs w:val="32"/>
          <w:lang w:val="zh-CN"/>
        </w:rPr>
        <w:t>山列岛海洋生态自然保护区实际，制定本条例。</w:t>
      </w:r>
    </w:p>
    <w:p w:rsidR="00B934B5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第二条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proofErr w:type="gramStart"/>
      <w:r w:rsidRPr="00562372">
        <w:rPr>
          <w:rFonts w:ascii="仿宋_GB2312" w:hint="eastAsia"/>
          <w:snapToGrid w:val="0"/>
          <w:szCs w:val="32"/>
          <w:lang w:val="zh-CN"/>
        </w:rPr>
        <w:t>韭</w:t>
      </w:r>
      <w:proofErr w:type="gramEnd"/>
      <w:r w:rsidRPr="00562372">
        <w:rPr>
          <w:rFonts w:ascii="仿宋_GB2312" w:hint="eastAsia"/>
          <w:snapToGrid w:val="0"/>
          <w:szCs w:val="32"/>
          <w:lang w:val="zh-CN"/>
        </w:rPr>
        <w:t>山列岛海洋生态自然保护区（以下简称保护区），</w:t>
      </w:r>
      <w:r w:rsidRPr="007A476B">
        <w:rPr>
          <w:rFonts w:ascii="仿宋_GB2312" w:hint="eastAsia"/>
          <w:snapToGrid w:val="0"/>
          <w:szCs w:val="32"/>
          <w:lang w:val="zh-CN"/>
        </w:rPr>
        <w:t>是指北纬29°32.4′、东经122°3.3′，北纬29°32.4′、</w:t>
      </w:r>
    </w:p>
    <w:p w:rsidR="00B934B5" w:rsidRPr="00562372" w:rsidRDefault="00B934B5" w:rsidP="001C2DA2">
      <w:pPr>
        <w:adjustRightInd w:val="0"/>
        <w:spacing w:line="240" w:lineRule="auto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东经122°29.2′，北纬29°16.2′、东经122°3.3′，北纬29°16.2′、东经122°23.5′四点连线之间的陆域和海域，总面积114950公顷。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lastRenderedPageBreak/>
        <w:t>保护区范围和界线需要调整的，</w:t>
      </w:r>
      <w:proofErr w:type="gramStart"/>
      <w:r w:rsidRPr="00562372">
        <w:rPr>
          <w:rFonts w:ascii="仿宋_GB2312" w:hint="eastAsia"/>
          <w:snapToGrid w:val="0"/>
          <w:szCs w:val="32"/>
          <w:lang w:val="zh-CN"/>
        </w:rPr>
        <w:t>经由有</w:t>
      </w:r>
      <w:proofErr w:type="gramEnd"/>
      <w:r w:rsidRPr="00562372">
        <w:rPr>
          <w:rFonts w:ascii="仿宋_GB2312" w:hint="eastAsia"/>
          <w:snapToGrid w:val="0"/>
          <w:szCs w:val="32"/>
          <w:lang w:val="zh-CN"/>
        </w:rPr>
        <w:t>权限的人民政府批准后予以公布。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第三条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保护区的保护、规划、利用和管理活动，适用本条例。保护区范围内涉及国家级自然保护区的，按照国家有关规定执行。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第四条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市和象山县环境保护行政主管部门负责保护区的综合管理。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市和象山县海洋行政主管部门主管保护区的管理工作。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国土资源、林业、渔业、海事等部门按照各自的职责，协同做好保护区的保护和管理工作。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 xml:space="preserve">第五条  </w:t>
      </w:r>
      <w:r w:rsidRPr="00562372">
        <w:rPr>
          <w:rFonts w:ascii="仿宋_GB2312" w:hint="eastAsia"/>
          <w:snapToGrid w:val="0"/>
          <w:szCs w:val="32"/>
          <w:lang w:val="zh-CN"/>
        </w:rPr>
        <w:t>保护区依法设立专门的管理机构，负责保护区的具体管理工作。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保护区管理机构的职责是：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（一）贯彻执行国家、省、市有关自然保护区的法律、法规；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（二）调查自然资源并建立档案，组织环境监测，维护保护区内的海洋自然环境和资源；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（三）制定保护区的各项管理制度，统一管理保护区；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（四）进行有关海洋自然资源和生态环境保护的宣传教育；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（五）法律、法规规定的其他职责。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第六条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市和象山县人民政府应当安排专项资金，用于保护区的保护、规划、利用和管理。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第七条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保护区管理机构应当组织编制保护区的建设规划，经有权机关批准后组织实施。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</w:rPr>
      </w:pPr>
      <w:r w:rsidRPr="00562372">
        <w:rPr>
          <w:rFonts w:ascii="黑体" w:eastAsia="黑体" w:hint="eastAsia"/>
          <w:snapToGrid w:val="0"/>
          <w:szCs w:val="32"/>
        </w:rPr>
        <w:lastRenderedPageBreak/>
        <w:t>第八条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保护区重点保护江豚、大黄鱼、</w:t>
      </w:r>
      <w:proofErr w:type="gramStart"/>
      <w:r w:rsidRPr="00562372">
        <w:rPr>
          <w:rFonts w:ascii="仿宋_GB2312" w:hint="eastAsia"/>
          <w:snapToGrid w:val="0"/>
          <w:szCs w:val="32"/>
          <w:lang w:val="zh-CN"/>
        </w:rPr>
        <w:t>曼</w:t>
      </w:r>
      <w:proofErr w:type="gramEnd"/>
      <w:r w:rsidRPr="00562372">
        <w:rPr>
          <w:rFonts w:ascii="仿宋_GB2312" w:hint="eastAsia"/>
          <w:snapToGrid w:val="0"/>
          <w:szCs w:val="32"/>
          <w:lang w:val="zh-CN"/>
        </w:rPr>
        <w:t>氏无针乌贼、珍稀鸟类等生物资源和海洋生态环境。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 xml:space="preserve">第九条　</w:t>
      </w:r>
      <w:r w:rsidRPr="00562372">
        <w:rPr>
          <w:rFonts w:ascii="仿宋_GB2312" w:hint="eastAsia"/>
          <w:snapToGrid w:val="0"/>
          <w:szCs w:val="32"/>
          <w:lang w:val="zh-CN"/>
        </w:rPr>
        <w:t>保护区分为核心区、缓冲区、实验区：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（一）南</w:t>
      </w:r>
      <w:proofErr w:type="gramStart"/>
      <w:r w:rsidRPr="00562372">
        <w:rPr>
          <w:rFonts w:ascii="仿宋_GB2312" w:hint="eastAsia"/>
          <w:snapToGrid w:val="0"/>
          <w:szCs w:val="32"/>
          <w:lang w:val="zh-CN"/>
        </w:rPr>
        <w:t>韭</w:t>
      </w:r>
      <w:proofErr w:type="gramEnd"/>
      <w:r w:rsidRPr="00562372">
        <w:rPr>
          <w:rFonts w:ascii="仿宋_GB2312" w:hint="eastAsia"/>
          <w:snapToGrid w:val="0"/>
          <w:szCs w:val="32"/>
          <w:lang w:val="zh-CN"/>
        </w:rPr>
        <w:t>山小东岩、官船</w:t>
      </w:r>
      <w:proofErr w:type="gramStart"/>
      <w:r w:rsidRPr="00562372">
        <w:rPr>
          <w:rFonts w:ascii="仿宋_GB2312" w:hint="eastAsia"/>
          <w:snapToGrid w:val="0"/>
          <w:szCs w:val="32"/>
          <w:lang w:val="zh-CN"/>
        </w:rPr>
        <w:t>岙</w:t>
      </w:r>
      <w:proofErr w:type="gramEnd"/>
      <w:r w:rsidRPr="00562372">
        <w:rPr>
          <w:rFonts w:ascii="仿宋_GB2312" w:hint="eastAsia"/>
          <w:snapToGrid w:val="0"/>
          <w:szCs w:val="32"/>
          <w:lang w:val="zh-CN"/>
        </w:rPr>
        <w:t>、黄礁、上竹山、麒麟头、大青山、将军帽、南耳朵、马补山、蚊虫山小礁、南</w:t>
      </w:r>
      <w:proofErr w:type="gramStart"/>
      <w:r w:rsidRPr="00562372">
        <w:rPr>
          <w:rFonts w:ascii="仿宋_GB2312" w:hint="eastAsia"/>
          <w:snapToGrid w:val="0"/>
          <w:szCs w:val="32"/>
          <w:lang w:val="zh-CN"/>
        </w:rPr>
        <w:t>韭</w:t>
      </w:r>
      <w:proofErr w:type="gramEnd"/>
      <w:r w:rsidRPr="00562372">
        <w:rPr>
          <w:rFonts w:ascii="仿宋_GB2312" w:hint="eastAsia"/>
          <w:snapToGrid w:val="0"/>
          <w:szCs w:val="32"/>
          <w:lang w:val="zh-CN"/>
        </w:rPr>
        <w:t>山乌贼山嘴西侧连线组成的区域为核心区；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（二）核心区界外三千米处的连线以内的区域，以及南</w:t>
      </w:r>
      <w:proofErr w:type="gramStart"/>
      <w:r w:rsidRPr="00562372">
        <w:rPr>
          <w:rFonts w:ascii="仿宋_GB2312" w:hint="eastAsia"/>
          <w:snapToGrid w:val="0"/>
          <w:szCs w:val="32"/>
          <w:lang w:val="zh-CN"/>
        </w:rPr>
        <w:t>韭</w:t>
      </w:r>
      <w:proofErr w:type="gramEnd"/>
      <w:r w:rsidRPr="00562372">
        <w:rPr>
          <w:rFonts w:ascii="仿宋_GB2312" w:hint="eastAsia"/>
          <w:snapToGrid w:val="0"/>
          <w:szCs w:val="32"/>
          <w:lang w:val="zh-CN"/>
        </w:rPr>
        <w:t>山本岛岸线向核心区界外二百米处的连线以内的区域为缓冲区；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（三）保护区内核心区和缓冲区之外的区域为实验区。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第十条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核心区、缓冲区、实验区的具体范围（经纬度连线）由保护区管理机构在当地予以公告，并设置有关界碑、标志物和保护设施。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仿宋_GB2312" w:hint="eastAsia"/>
          <w:snapToGrid w:val="0"/>
          <w:szCs w:val="32"/>
          <w:lang w:val="zh-CN"/>
        </w:rPr>
        <w:t>任何单位和个人不得擅自移动或者破坏保护区的界碑、标志物和保护设施。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</w:rPr>
      </w:pPr>
      <w:r w:rsidRPr="00562372">
        <w:rPr>
          <w:rFonts w:ascii="黑体" w:eastAsia="黑体" w:hint="eastAsia"/>
          <w:snapToGrid w:val="0"/>
          <w:szCs w:val="32"/>
        </w:rPr>
        <w:t>第十一条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禁止任何人进入核心区。因科学研究的需要，必须进入核心区从事科学研究观测、调查活动的，应当事先向保护区管理机构提交申请和活动计划，并经保护区管理机构批准。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第十二条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禁止在缓冲区内开展旅游和生产经营活动。因教学科研的目的，在确保海洋生物和鸟类资源以及生态环境不遭破坏和污染的前提下，经保护区管理机构批准，可以在缓冲区内进行科学研究、教学实习、标本采集活动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第十三条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在实验区开展参观、旅游活动的，由保护区管理机</w:t>
      </w:r>
      <w:r w:rsidRPr="00562372">
        <w:rPr>
          <w:rFonts w:ascii="仿宋_GB2312" w:hint="eastAsia"/>
          <w:snapToGrid w:val="0"/>
          <w:szCs w:val="32"/>
          <w:lang w:val="zh-CN"/>
        </w:rPr>
        <w:lastRenderedPageBreak/>
        <w:t>构编制方案，方案应当符合自然保护区管理目标。开展参观、旅游活动的，应当按照该方案进行，并服从保护区管理机构的管理。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第十四条</w:t>
      </w:r>
      <w:r w:rsidRPr="00562372">
        <w:rPr>
          <w:rFonts w:ascii="仿宋_GB2312" w:hint="eastAsia"/>
          <w:snapToGrid w:val="0"/>
          <w:szCs w:val="32"/>
        </w:rPr>
        <w:t xml:space="preserve">  </w:t>
      </w:r>
      <w:r w:rsidRPr="00562372">
        <w:rPr>
          <w:rFonts w:ascii="仿宋_GB2312" w:hint="eastAsia"/>
          <w:snapToGrid w:val="0"/>
          <w:szCs w:val="32"/>
          <w:lang w:val="zh-CN"/>
        </w:rPr>
        <w:t>经批准在核心区和缓冲区从事科学研究、教学实习等活动的单位和个人，应当在活动结束之日起六个月内将其活动成果（包括照片、录像、资料、论文、图表等）的副本提交保护区管理机构；因特殊情况不能按期提交的，可以适当延长提交期限，并将延长期限的理由告知保护区管理机构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第十五条</w:t>
      </w:r>
      <w:r w:rsidRPr="00562372">
        <w:rPr>
          <w:rFonts w:ascii="仿宋_GB2312" w:hint="eastAsia"/>
          <w:snapToGrid w:val="0"/>
          <w:szCs w:val="32"/>
        </w:rPr>
        <w:t xml:space="preserve">  </w:t>
      </w:r>
      <w:r w:rsidRPr="00562372">
        <w:rPr>
          <w:rFonts w:ascii="仿宋_GB2312" w:hint="eastAsia"/>
          <w:snapToGrid w:val="0"/>
          <w:szCs w:val="32"/>
          <w:lang w:val="zh-CN"/>
        </w:rPr>
        <w:t>禁止在核心区和缓冲区内建设任何生产设施。禁止在实验区内建设污染环境、破坏资源或者景观的生产设施；建设其他项目，其污染物排放不得超过国家和地方规定的标准。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第十六条</w:t>
      </w:r>
      <w:r w:rsidRPr="00562372">
        <w:rPr>
          <w:rFonts w:ascii="仿宋_GB2312" w:hint="eastAsia"/>
          <w:snapToGrid w:val="0"/>
          <w:szCs w:val="32"/>
        </w:rPr>
        <w:t xml:space="preserve">  </w:t>
      </w:r>
      <w:r w:rsidRPr="00562372">
        <w:rPr>
          <w:rFonts w:ascii="仿宋_GB2312" w:hint="eastAsia"/>
          <w:snapToGrid w:val="0"/>
          <w:szCs w:val="32"/>
          <w:lang w:val="zh-CN"/>
        </w:rPr>
        <w:t>禁止在保护区内进行砍伐、放牧、狩猎、捕捞、采药、开垦、烧荒、开矿、采石、挖沙、挖礁、炸礁、捡拾鸟蛋、捕捉鸟类等活动；但是，法律、行政法规另有规定的除外。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第十七条</w:t>
      </w:r>
      <w:r w:rsidRPr="00562372">
        <w:rPr>
          <w:rFonts w:ascii="仿宋_GB2312" w:hint="eastAsia"/>
          <w:snapToGrid w:val="0"/>
          <w:szCs w:val="32"/>
        </w:rPr>
        <w:t xml:space="preserve">  </w:t>
      </w:r>
      <w:r w:rsidRPr="00562372">
        <w:rPr>
          <w:rFonts w:ascii="仿宋_GB2312" w:hint="eastAsia"/>
          <w:snapToGrid w:val="0"/>
          <w:szCs w:val="32"/>
          <w:lang w:val="zh-CN"/>
        </w:rPr>
        <w:t>违反本条例第十条第二款、第十一条、第十二条、第十三条、第十四条规定的，由保护区管理机构责令改正，采取补救措施，没收违法所得，并可处一百元以上二千元以下的罚款；情节较重的，并处二千元以上五千元以下的罚款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第十八条</w:t>
      </w:r>
      <w:r w:rsidRPr="00562372">
        <w:rPr>
          <w:rFonts w:ascii="仿宋_GB2312" w:hint="eastAsia"/>
          <w:snapToGrid w:val="0"/>
          <w:szCs w:val="32"/>
        </w:rPr>
        <w:t xml:space="preserve">  </w:t>
      </w:r>
      <w:r w:rsidRPr="00562372">
        <w:rPr>
          <w:rFonts w:ascii="仿宋_GB2312" w:hint="eastAsia"/>
          <w:snapToGrid w:val="0"/>
          <w:szCs w:val="32"/>
          <w:lang w:val="zh-CN"/>
        </w:rPr>
        <w:t>违反本条例第十六条规定的，由保护区管理机构责令停止违法行为，限期恢复原状或者采取其他补救措施，没收违法所得，并可处三百元以上二千元以下的罚款；情节较重的，并处二千元以上一万元以下的罚款。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第十九条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违反本条例规定的行为，法律、法规已有法律责任</w:t>
      </w:r>
      <w:r w:rsidRPr="00562372">
        <w:rPr>
          <w:rFonts w:ascii="仿宋_GB2312" w:hint="eastAsia"/>
          <w:snapToGrid w:val="0"/>
          <w:szCs w:val="32"/>
          <w:lang w:val="zh-CN"/>
        </w:rPr>
        <w:lastRenderedPageBreak/>
        <w:t>规定的，从其规定。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第二十条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违反本条例规定，给保护区造成损失的，依法承担损害赔偿责任。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第二十一条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保护区管理机构和其他相关行政管理部门及其工作人员玩忽职守、滥用职权、徇私舞弊的，由其上级机关或者所在单位责令改正，给当事人造成损失的，依法予以赔偿；对直接负责的主管人员和其他直接责任人员，由其所在单位或者上级机关依法给予行政处分，构成犯罪的，依法追究刑事责任。</w:t>
      </w:r>
    </w:p>
    <w:p w:rsidR="00B934B5" w:rsidRPr="00562372" w:rsidRDefault="00B934B5" w:rsidP="001C2DA2">
      <w:pPr>
        <w:adjustRightInd w:val="0"/>
        <w:spacing w:line="240" w:lineRule="auto"/>
        <w:ind w:firstLineChars="200" w:firstLine="628"/>
        <w:rPr>
          <w:rFonts w:ascii="仿宋_GB2312" w:hint="eastAsia"/>
          <w:snapToGrid w:val="0"/>
          <w:szCs w:val="32"/>
          <w:lang w:val="zh-CN"/>
        </w:rPr>
      </w:pPr>
      <w:r w:rsidRPr="00562372">
        <w:rPr>
          <w:rFonts w:ascii="黑体" w:eastAsia="黑体" w:hint="eastAsia"/>
          <w:snapToGrid w:val="0"/>
          <w:szCs w:val="32"/>
        </w:rPr>
        <w:t>第二十二条</w:t>
      </w:r>
      <w:r w:rsidRPr="00562372">
        <w:rPr>
          <w:rFonts w:ascii="仿宋_GB2312" w:hint="eastAsia"/>
          <w:snapToGrid w:val="0"/>
          <w:szCs w:val="32"/>
        </w:rPr>
        <w:t xml:space="preserve">　</w:t>
      </w:r>
      <w:r w:rsidRPr="00562372">
        <w:rPr>
          <w:rFonts w:ascii="仿宋_GB2312" w:hint="eastAsia"/>
          <w:snapToGrid w:val="0"/>
          <w:szCs w:val="32"/>
          <w:lang w:val="zh-CN"/>
        </w:rPr>
        <w:t>因海上救助或者紧急避险，不适用本条例有关保护区禁入的规定。但在停留期间，超过救助或者紧急避险必需限度，违反本条例规定的行为，应当依照本条例的有关规定予以处罚。</w:t>
      </w:r>
    </w:p>
    <w:p w:rsidR="00D57722" w:rsidRPr="001C2DA2" w:rsidRDefault="00B934B5" w:rsidP="001C2DA2">
      <w:pPr>
        <w:adjustRightInd w:val="0"/>
        <w:spacing w:line="240" w:lineRule="auto"/>
        <w:ind w:firstLineChars="200" w:firstLine="628"/>
        <w:rPr>
          <w:rFonts w:ascii="仿宋_GB2312"/>
          <w:snapToGrid w:val="0"/>
          <w:szCs w:val="32"/>
          <w:lang w:val="zh-CN"/>
        </w:rPr>
      </w:pPr>
      <w:r w:rsidRPr="00562372">
        <w:rPr>
          <w:rFonts w:ascii="黑体" w:eastAsia="黑体" w:hAnsi="宋体" w:cs="宋体" w:hint="eastAsia"/>
          <w:snapToGrid w:val="0"/>
          <w:szCs w:val="32"/>
        </w:rPr>
        <w:t xml:space="preserve">第二十三条　</w:t>
      </w:r>
      <w:r w:rsidRPr="00562372">
        <w:rPr>
          <w:rFonts w:ascii="仿宋_GB2312" w:hint="eastAsia"/>
          <w:snapToGrid w:val="0"/>
          <w:szCs w:val="32"/>
          <w:lang w:val="zh-CN"/>
        </w:rPr>
        <w:t>本条例自2007年1月1日起施行。</w:t>
      </w:r>
    </w:p>
    <w:sectPr w:rsidR="00D57722" w:rsidRPr="001C2DA2" w:rsidSect="00D57722">
      <w:footerReference w:type="even" r:id="rId9"/>
      <w:footerReference w:type="default" r:id="rId10"/>
      <w:pgSz w:w="11906" w:h="16838"/>
      <w:pgMar w:top="2013" w:right="1474" w:bottom="1899" w:left="1588" w:header="851" w:footer="1037" w:gutter="0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DF7" w:rsidRDefault="00676DF7" w:rsidP="00D57722">
      <w:pPr>
        <w:spacing w:line="240" w:lineRule="auto"/>
      </w:pPr>
      <w:r>
        <w:separator/>
      </w:r>
    </w:p>
  </w:endnote>
  <w:endnote w:type="continuationSeparator" w:id="0">
    <w:p w:rsidR="00676DF7" w:rsidRDefault="00676DF7" w:rsidP="00D5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黑体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spacing w:line="471" w:lineRule="auto"/>
      <w:ind w:leftChars="100" w:left="308"/>
      <w:jc w:val="left"/>
      <w:rPr>
        <w:rStyle w:val="a6"/>
        <w:rFonts w:ascii="宋体" w:eastAsia="宋体" w:hAnsi="宋体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hint="eastAsia"/>
        <w:sz w:val="28"/>
      </w:rPr>
      <w:fldChar w:fldCharType="begin"/>
    </w:r>
    <w:r>
      <w:rPr>
        <w:rStyle w:val="a6"/>
        <w:rFonts w:ascii="宋体" w:eastAsia="宋体" w:hAnsi="宋体" w:hint="eastAsia"/>
        <w:sz w:val="28"/>
      </w:rPr>
      <w:instrText xml:space="preserve"> PAGE </w:instrText>
    </w:r>
    <w:r w:rsidR="00D57722">
      <w:rPr>
        <w:rFonts w:ascii="宋体" w:eastAsia="宋体" w:hAnsi="宋体" w:hint="eastAsia"/>
        <w:sz w:val="28"/>
      </w:rPr>
      <w:fldChar w:fldCharType="separate"/>
    </w:r>
    <w:r w:rsidR="001C2DA2">
      <w:rPr>
        <w:rStyle w:val="a6"/>
        <w:rFonts w:ascii="宋体" w:eastAsia="宋体" w:hAnsi="宋体"/>
        <w:noProof/>
        <w:sz w:val="28"/>
      </w:rPr>
      <w:t>4</w:t>
    </w:r>
    <w:r w:rsidR="00D57722">
      <w:rPr>
        <w:rFonts w:ascii="宋体" w:eastAsia="宋体" w:hAnsi="宋体" w:hint="eastAsia"/>
        <w:sz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wordWrap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cs="宋体" w:hint="eastAsia"/>
        <w:sz w:val="28"/>
        <w:szCs w:val="28"/>
      </w:rPr>
      <w:fldChar w:fldCharType="begin"/>
    </w:r>
    <w:r>
      <w:rPr>
        <w:rStyle w:val="a6"/>
        <w:rFonts w:ascii="宋体" w:eastAsia="宋体" w:hAnsi="宋体" w:cs="宋体" w:hint="eastAsia"/>
        <w:sz w:val="28"/>
        <w:szCs w:val="28"/>
      </w:rPr>
      <w:instrText xml:space="preserve"> PAGE \* MERGEFORMAT </w:instrText>
    </w:r>
    <w:r w:rsidR="00D57722">
      <w:rPr>
        <w:rFonts w:ascii="宋体" w:eastAsia="宋体" w:hAnsi="宋体" w:cs="宋体" w:hint="eastAsia"/>
        <w:sz w:val="28"/>
        <w:szCs w:val="28"/>
      </w:rPr>
      <w:fldChar w:fldCharType="separate"/>
    </w:r>
    <w:r w:rsidR="001C2DA2" w:rsidRPr="001C2DA2">
      <w:rPr>
        <w:noProof/>
      </w:rPr>
      <w:t>5</w:t>
    </w:r>
    <w:r w:rsidR="00D57722">
      <w:rPr>
        <w:rFonts w:ascii="宋体" w:eastAsia="宋体" w:hAnsi="宋体" w:cs="宋体" w:hint="eastAsia"/>
        <w:sz w:val="28"/>
        <w:szCs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DF7" w:rsidRDefault="00676DF7" w:rsidP="00D57722">
      <w:pPr>
        <w:spacing w:line="240" w:lineRule="auto"/>
      </w:pPr>
      <w:r>
        <w:separator/>
      </w:r>
    </w:p>
  </w:footnote>
  <w:footnote w:type="continuationSeparator" w:id="0">
    <w:p w:rsidR="00676DF7" w:rsidRDefault="00676DF7" w:rsidP="00D57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abstractNum w:abstractNumId="1">
    <w:nsid w:val="58228FC3"/>
    <w:multiLevelType w:val="singleLevel"/>
    <w:tmpl w:val="58228FC3"/>
    <w:lvl w:ilvl="0">
      <w:start w:val="2"/>
      <w:numFmt w:val="chineseCounting"/>
      <w:suff w:val="space"/>
      <w:lvlText w:val="第%1章"/>
      <w:lvlJc w:val="left"/>
      <w:rPr>
        <w:rFonts w:cs="Times New Roman"/>
      </w:rPr>
    </w:lvl>
  </w:abstractNum>
  <w:abstractNum w:abstractNumId="2">
    <w:nsid w:val="58246532"/>
    <w:multiLevelType w:val="singleLevel"/>
    <w:tmpl w:val="58246532"/>
    <w:lvl w:ilvl="0">
      <w:start w:val="5"/>
      <w:numFmt w:val="chineseCounting"/>
      <w:suff w:val="space"/>
      <w:lvlText w:val="第%1章"/>
      <w:lvlJc w:val="left"/>
      <w:rPr>
        <w:rFonts w:cs="Times New Roman"/>
      </w:rPr>
    </w:lvl>
  </w:abstractNum>
  <w:abstractNum w:abstractNumId="3">
    <w:nsid w:val="58F48828"/>
    <w:multiLevelType w:val="singleLevel"/>
    <w:tmpl w:val="58F48828"/>
    <w:lvl w:ilvl="0">
      <w:start w:val="1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308"/>
  <w:drawingGridVerticalSpacing w:val="29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iDocStyle" w:val="2"/>
  </w:docVars>
  <w:rsids>
    <w:rsidRoot w:val="0FE0082F"/>
    <w:rsid w:val="E8DDC30C"/>
    <w:rsid w:val="EE7F5BE4"/>
    <w:rsid w:val="EFFCBC21"/>
    <w:rsid w:val="FFF57E51"/>
    <w:rsid w:val="000206BB"/>
    <w:rsid w:val="00071F92"/>
    <w:rsid w:val="00094A7F"/>
    <w:rsid w:val="000960D6"/>
    <w:rsid w:val="000C3B10"/>
    <w:rsid w:val="000F3DA2"/>
    <w:rsid w:val="001A6EA7"/>
    <w:rsid w:val="001B173E"/>
    <w:rsid w:val="001C2DA2"/>
    <w:rsid w:val="00251C01"/>
    <w:rsid w:val="002B347B"/>
    <w:rsid w:val="002B405F"/>
    <w:rsid w:val="00350EF5"/>
    <w:rsid w:val="00372A49"/>
    <w:rsid w:val="00455EAE"/>
    <w:rsid w:val="004C53E0"/>
    <w:rsid w:val="005503F0"/>
    <w:rsid w:val="00562EFE"/>
    <w:rsid w:val="005D3E8F"/>
    <w:rsid w:val="00602625"/>
    <w:rsid w:val="00676DF7"/>
    <w:rsid w:val="00736E4E"/>
    <w:rsid w:val="007829E7"/>
    <w:rsid w:val="0079390B"/>
    <w:rsid w:val="007E7972"/>
    <w:rsid w:val="00821AE1"/>
    <w:rsid w:val="008F2BA1"/>
    <w:rsid w:val="00967225"/>
    <w:rsid w:val="009E1612"/>
    <w:rsid w:val="009F2D8E"/>
    <w:rsid w:val="009F5E58"/>
    <w:rsid w:val="00A0528C"/>
    <w:rsid w:val="00A0649E"/>
    <w:rsid w:val="00AB459A"/>
    <w:rsid w:val="00B3448D"/>
    <w:rsid w:val="00B934B5"/>
    <w:rsid w:val="00B9350E"/>
    <w:rsid w:val="00C26BE1"/>
    <w:rsid w:val="00CC6563"/>
    <w:rsid w:val="00D01AB1"/>
    <w:rsid w:val="00D57722"/>
    <w:rsid w:val="00D93A6F"/>
    <w:rsid w:val="00E560D4"/>
    <w:rsid w:val="00F1499C"/>
    <w:rsid w:val="00F206DF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7722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  <w:style w:type="paragraph" w:styleId="aa">
    <w:name w:val="Plain Text"/>
    <w:basedOn w:val="a0"/>
    <w:link w:val="Char"/>
    <w:uiPriority w:val="99"/>
    <w:unhideWhenUsed/>
    <w:rsid w:val="00D93A6F"/>
    <w:pPr>
      <w:spacing w:line="240" w:lineRule="auto"/>
    </w:pPr>
    <w:rPr>
      <w:rFonts w:ascii="宋体" w:eastAsia="宋体" w:hAnsi="Courier New" w:cs="Courier New"/>
      <w:spacing w:val="0"/>
      <w:sz w:val="21"/>
      <w:szCs w:val="21"/>
    </w:rPr>
  </w:style>
  <w:style w:type="character" w:customStyle="1" w:styleId="Char">
    <w:name w:val="纯文本 Char"/>
    <w:basedOn w:val="a1"/>
    <w:link w:val="aa"/>
    <w:uiPriority w:val="99"/>
    <w:rsid w:val="00D93A6F"/>
    <w:rPr>
      <w:rFonts w:ascii="宋体" w:hAnsi="Courier New" w:cs="Courier New"/>
      <w:kern w:val="2"/>
      <w:sz w:val="21"/>
      <w:szCs w:val="21"/>
    </w:rPr>
  </w:style>
  <w:style w:type="paragraph" w:customStyle="1" w:styleId="Char0">
    <w:name w:val="Char"/>
    <w:basedOn w:val="a0"/>
    <w:rsid w:val="00B934B5"/>
    <w:pPr>
      <w:spacing w:line="240" w:lineRule="auto"/>
    </w:pPr>
    <w:rPr>
      <w:rFonts w:ascii="Tahoma" w:eastAsia="宋体" w:hAnsi="Tahoma"/>
      <w:spacing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TotalTime>35</TotalTime>
  <Pages>5</Pages>
  <Words>350</Words>
  <Characters>1996</Characters>
  <Application>Microsoft Office Word</Application>
  <DocSecurity>0</DocSecurity>
  <Lines>16</Lines>
  <Paragraphs>4</Paragraphs>
  <ScaleCrop>false</ScaleCrop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creator>shy</dc:creator>
  <cp:lastModifiedBy>lenovo</cp:lastModifiedBy>
  <cp:revision>30</cp:revision>
  <dcterms:created xsi:type="dcterms:W3CDTF">2017-01-11T09:18:00Z</dcterms:created>
  <dcterms:modified xsi:type="dcterms:W3CDTF">2018-01-17T06:32:00Z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