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spacing w:line="660" w:lineRule="exact"/>
        <w:jc w:val="center"/>
        <w:rPr>
          <w:rFonts w:eastAsia="方正小标宋简体"/>
          <w:sz w:val="44"/>
          <w:szCs w:val="44"/>
        </w:rPr>
      </w:pPr>
      <w:r>
        <w:rPr>
          <w:rFonts w:hint="eastAsia" w:eastAsia="方正小标宋简体"/>
          <w:sz w:val="44"/>
          <w:szCs w:val="44"/>
        </w:rPr>
        <w:t>安徽省各级人民代表大会常务委员会监督条例</w:t>
      </w:r>
    </w:p>
    <w:p>
      <w:pPr>
        <w:ind w:firstLine="640" w:firstLineChars="200"/>
        <w:rPr>
          <w:rFonts w:hint="eastAsia" w:eastAsia="楷体" w:cs="宋体"/>
          <w:color w:val="000000"/>
          <w:kern w:val="0"/>
        </w:rPr>
      </w:pPr>
    </w:p>
    <w:p>
      <w:pPr>
        <w:ind w:firstLine="640" w:firstLineChars="200"/>
        <w:rPr>
          <w:rFonts w:hint="eastAsia" w:eastAsia="楷体_GB2312"/>
        </w:rPr>
      </w:pPr>
      <w:r>
        <w:rPr>
          <w:rFonts w:hint="eastAsia" w:eastAsia="楷体_GB2312" w:cs="宋体"/>
          <w:color w:val="000000"/>
          <w:kern w:val="0"/>
        </w:rPr>
        <w:t>（2002年1月30日安徽省第九届人民代表大会第五次会议通过  2007年1月28日安徽省第十届人民代表大会第五次会议修订  根据2017年9月29日安徽省第十二届人民代表大会常务委员会第四十次会议《关于修改和废止部分法规的决定》修正</w:t>
      </w:r>
      <w:r>
        <w:rPr>
          <w:rFonts w:hint="eastAsia" w:eastAsia="楷体_GB2312"/>
        </w:rPr>
        <w:t>）</w:t>
      </w:r>
    </w:p>
    <w:p>
      <w:pPr>
        <w:jc w:val="center"/>
        <w:rPr>
          <w:rFonts w:eastAsia="黑体"/>
        </w:rPr>
      </w:pPr>
    </w:p>
    <w:p>
      <w:pPr>
        <w:jc w:val="center"/>
        <w:rPr>
          <w:rFonts w:eastAsia="黑体"/>
        </w:rPr>
      </w:pPr>
      <w:r>
        <w:rPr>
          <w:rFonts w:hint="eastAsia" w:hAnsi="黑体" w:eastAsia="黑体"/>
        </w:rPr>
        <w:t>第一章</w:t>
      </w:r>
      <w:r>
        <w:rPr>
          <w:rFonts w:eastAsia="黑体"/>
        </w:rPr>
        <w:t xml:space="preserve">  </w:t>
      </w:r>
      <w:r>
        <w:rPr>
          <w:rFonts w:hint="eastAsia" w:hAnsi="黑体" w:eastAsia="黑体"/>
        </w:rPr>
        <w:t>总</w:t>
      </w:r>
      <w:r>
        <w:rPr>
          <w:rFonts w:hint="eastAsia" w:eastAsia="黑体"/>
        </w:rPr>
        <w:t xml:space="preserve">    </w:t>
      </w:r>
      <w:r>
        <w:rPr>
          <w:rFonts w:hint="eastAsia" w:hAnsi="黑体" w:eastAsia="黑体"/>
        </w:rPr>
        <w:t>则</w:t>
      </w:r>
    </w:p>
    <w:p>
      <w:pPr>
        <w:jc w:val="center"/>
        <w:rPr>
          <w:rFonts w:eastAsia="黑体"/>
        </w:rPr>
      </w:pPr>
    </w:p>
    <w:p>
      <w:pPr>
        <w:ind w:firstLine="624" w:firstLineChars="200"/>
        <w:rPr>
          <w:spacing w:val="-4"/>
        </w:rPr>
      </w:pPr>
      <w:r>
        <w:rPr>
          <w:rFonts w:hint="eastAsia" w:hAnsi="黑体" w:eastAsia="黑体"/>
          <w:spacing w:val="-4"/>
        </w:rPr>
        <w:t>第一条</w:t>
      </w:r>
      <w:r>
        <w:rPr>
          <w:rFonts w:eastAsia="黑体"/>
          <w:spacing w:val="-4"/>
        </w:rPr>
        <w:t xml:space="preserve">  </w:t>
      </w:r>
      <w:r>
        <w:rPr>
          <w:rFonts w:hint="eastAsia"/>
          <w:spacing w:val="-4"/>
        </w:rPr>
        <w:t>为了保障本省各级人民代表大会常务委员会依法行使监督职权，保证宪法、法律、法规、上级和本级人民代表大会及其常务委员会决议、决定在本行政区域内的遵守和执行，根据《中华人民共和国宪法》《中华人民共和国地方各级人民代表大会和地方各级人民政府组织法》《中华人民共和国各级人民代表大会常务委员会监督法》和有关法律的规定，结合本省实际，制定本条例。</w:t>
      </w:r>
    </w:p>
    <w:p>
      <w:pPr>
        <w:ind w:firstLine="640" w:firstLineChars="200"/>
      </w:pPr>
      <w:r>
        <w:rPr>
          <w:rFonts w:hint="eastAsia" w:hAnsi="黑体" w:eastAsia="黑体"/>
        </w:rPr>
        <w:t>第二条</w:t>
      </w:r>
      <w:r>
        <w:rPr>
          <w:rFonts w:eastAsia="黑体"/>
        </w:rPr>
        <w:t xml:space="preserve">  </w:t>
      </w:r>
      <w:r>
        <w:rPr>
          <w:rFonts w:hint="eastAsia"/>
        </w:rPr>
        <w:t>本省各级人民代表大会常务委员会在本级人民代表大会闭会期间，对本级人民政府、人民法院、人民检察院及其他监督对象依法行使监督职权。</w:t>
      </w:r>
    </w:p>
    <w:p>
      <w:pPr>
        <w:ind w:firstLine="640" w:firstLineChars="200"/>
      </w:pPr>
      <w:r>
        <w:rPr>
          <w:rFonts w:hint="eastAsia"/>
        </w:rPr>
        <w:t>人民代表大会常务委员会（以下简称常务委员会）依法实施的监督具有法律效力，被监督的机关和工作人员应当接受监督。</w:t>
      </w:r>
    </w:p>
    <w:p>
      <w:pPr>
        <w:ind w:firstLine="640" w:firstLineChars="200"/>
      </w:pPr>
      <w:r>
        <w:rPr>
          <w:rFonts w:hint="eastAsia" w:hAnsi="黑体" w:eastAsia="黑体"/>
        </w:rPr>
        <w:t>第三条</w:t>
      </w:r>
      <w:r>
        <w:rPr>
          <w:rFonts w:eastAsia="黑体"/>
        </w:rPr>
        <w:t xml:space="preserve">  </w:t>
      </w:r>
      <w:r>
        <w:rPr>
          <w:rFonts w:hint="eastAsia"/>
        </w:rPr>
        <w:t>常务委员会行使监督职权，应当围绕国家工作大局，以经济建设为中心，坚持中国共产党的领导，坚持马克思列宁主义、毛泽东思想、邓小平理论和“三个代表”重要思想，坚持人民民主专政，坚持社会主义道路，坚持改革开放。</w:t>
      </w:r>
    </w:p>
    <w:p>
      <w:pPr>
        <w:ind w:firstLine="640" w:firstLineChars="200"/>
      </w:pPr>
      <w:r>
        <w:rPr>
          <w:rFonts w:hint="eastAsia" w:hAnsi="黑体" w:eastAsia="黑体"/>
        </w:rPr>
        <w:t>第四条</w:t>
      </w:r>
      <w:r>
        <w:rPr>
          <w:rFonts w:eastAsia="黑体"/>
        </w:rPr>
        <w:t xml:space="preserve">  </w:t>
      </w:r>
      <w:r>
        <w:rPr>
          <w:rFonts w:hint="eastAsia"/>
        </w:rPr>
        <w:t>常务委员会按照民主集中制的原则，集体行使监督职权。</w:t>
      </w:r>
    </w:p>
    <w:p>
      <w:pPr>
        <w:ind w:firstLine="640" w:firstLineChars="200"/>
      </w:pPr>
      <w:r>
        <w:rPr>
          <w:rFonts w:hint="eastAsia" w:hAnsi="黑体" w:eastAsia="黑体"/>
        </w:rPr>
        <w:t>第五条</w:t>
      </w:r>
      <w:r>
        <w:t xml:space="preserve">  </w:t>
      </w:r>
      <w:r>
        <w:rPr>
          <w:rFonts w:hint="eastAsia"/>
        </w:rPr>
        <w:t>常务委员会对本级人民政府、人民法院和人民检察院的工作实施监督，促进依法行政、公正司法。</w:t>
      </w:r>
    </w:p>
    <w:p>
      <w:pPr>
        <w:ind w:firstLine="640" w:firstLineChars="200"/>
      </w:pPr>
      <w:r>
        <w:rPr>
          <w:rFonts w:hint="eastAsia" w:hAnsi="黑体" w:eastAsia="黑体"/>
        </w:rPr>
        <w:t>第六条</w:t>
      </w:r>
      <w:r>
        <w:rPr>
          <w:rFonts w:eastAsia="黑体"/>
        </w:rPr>
        <w:t xml:space="preserve">  </w:t>
      </w:r>
      <w:r>
        <w:rPr>
          <w:rFonts w:hint="eastAsia"/>
        </w:rPr>
        <w:t>常务委员会主任会议负责处理常务委员会行使监督权的重要日常工作。</w:t>
      </w:r>
    </w:p>
    <w:p>
      <w:pPr>
        <w:ind w:firstLine="640" w:firstLineChars="200"/>
      </w:pPr>
      <w:r>
        <w:rPr>
          <w:rFonts w:hint="eastAsia"/>
        </w:rPr>
        <w:t>在人民代表大会闭会期间，省、设区的市的人民代表大会专门委员会（以下简称专门委员会）在本级人民代表大会常务委员会的领导下，协助常务委员会开展监督工作。</w:t>
      </w:r>
    </w:p>
    <w:p>
      <w:pPr>
        <w:ind w:firstLine="640" w:firstLineChars="200"/>
      </w:pPr>
      <w:r>
        <w:rPr>
          <w:rFonts w:hint="eastAsia"/>
        </w:rPr>
        <w:t>常务委员会工作机构根据常务委员会或者主任会议的决定承办有关监督的具体工作。</w:t>
      </w:r>
    </w:p>
    <w:p>
      <w:pPr>
        <w:ind w:firstLine="640" w:firstLineChars="200"/>
      </w:pPr>
      <w:r>
        <w:rPr>
          <w:rFonts w:hint="eastAsia" w:hAnsi="黑体" w:eastAsia="黑体"/>
        </w:rPr>
        <w:t>第七条</w:t>
      </w:r>
      <w:r>
        <w:rPr>
          <w:rFonts w:eastAsia="黑体"/>
        </w:rPr>
        <w:t xml:space="preserve">  </w:t>
      </w:r>
      <w:r>
        <w:rPr>
          <w:rFonts w:hint="eastAsia"/>
        </w:rPr>
        <w:t>常务委员会应当依法履行监督职责，接受本级人民代表大会、上一级人民代表大会常务委员会和人民群众的监督，并向本级人民代表大会报告监督工作情况。</w:t>
      </w:r>
    </w:p>
    <w:p>
      <w:pPr>
        <w:ind w:firstLine="640" w:firstLineChars="200"/>
      </w:pPr>
      <w:r>
        <w:rPr>
          <w:rFonts w:hint="eastAsia" w:hAnsi="黑体" w:eastAsia="黑体"/>
        </w:rPr>
        <w:t>第八条</w:t>
      </w:r>
      <w:r>
        <w:rPr>
          <w:rFonts w:eastAsia="黑体"/>
        </w:rPr>
        <w:t xml:space="preserve">  </w:t>
      </w:r>
      <w:r>
        <w:rPr>
          <w:rFonts w:hint="eastAsia"/>
        </w:rPr>
        <w:t>常务委员会行使监督职权的情况，向社会公开。</w:t>
      </w:r>
    </w:p>
    <w:p>
      <w:pPr>
        <w:jc w:val="center"/>
        <w:rPr>
          <w:rFonts w:hint="eastAsia" w:eastAsia="黑体"/>
        </w:rPr>
      </w:pPr>
    </w:p>
    <w:p>
      <w:pPr>
        <w:jc w:val="center"/>
        <w:rPr>
          <w:rFonts w:eastAsia="黑体"/>
        </w:rPr>
      </w:pPr>
      <w:r>
        <w:rPr>
          <w:rFonts w:hint="eastAsia" w:hAnsi="黑体" w:eastAsia="黑体"/>
        </w:rPr>
        <w:t>第二章</w:t>
      </w:r>
      <w:r>
        <w:rPr>
          <w:rFonts w:eastAsia="黑体"/>
        </w:rPr>
        <w:t xml:space="preserve">  </w:t>
      </w:r>
      <w:r>
        <w:rPr>
          <w:rFonts w:hint="eastAsia" w:hAnsi="黑体" w:eastAsia="黑体"/>
        </w:rPr>
        <w:t>监督对象和内容</w:t>
      </w:r>
    </w:p>
    <w:p>
      <w:pPr>
        <w:jc w:val="center"/>
        <w:rPr>
          <w:rFonts w:eastAsia="黑体"/>
        </w:rPr>
      </w:pPr>
    </w:p>
    <w:p>
      <w:pPr>
        <w:ind w:firstLine="640" w:firstLineChars="200"/>
      </w:pPr>
      <w:r>
        <w:rPr>
          <w:rFonts w:hint="eastAsia" w:hAnsi="黑体" w:eastAsia="黑体"/>
        </w:rPr>
        <w:t>第九条</w:t>
      </w:r>
      <w:r>
        <w:rPr>
          <w:rFonts w:eastAsia="黑体"/>
        </w:rPr>
        <w:t xml:space="preserve">  </w:t>
      </w:r>
      <w:r>
        <w:rPr>
          <w:rFonts w:hint="eastAsia"/>
        </w:rPr>
        <w:t>常务委员会的主要监督对象：</w:t>
      </w:r>
    </w:p>
    <w:p>
      <w:pPr>
        <w:ind w:firstLine="640" w:firstLineChars="200"/>
      </w:pPr>
      <w:r>
        <w:rPr>
          <w:rFonts w:hint="eastAsia"/>
        </w:rPr>
        <w:t>（一）本级人民政府及其所属部门、人民法院、人民检察院及其派出机构；</w:t>
      </w:r>
    </w:p>
    <w:p>
      <w:pPr>
        <w:ind w:firstLine="640" w:firstLineChars="200"/>
      </w:pPr>
      <w:r>
        <w:rPr>
          <w:rFonts w:hint="eastAsia"/>
        </w:rPr>
        <w:t>（二）本级人民代表大会及其常务委员会选举、任命的国家机关工作人员；</w:t>
      </w:r>
    </w:p>
    <w:p>
      <w:pPr>
        <w:ind w:firstLine="640" w:firstLineChars="200"/>
      </w:pPr>
      <w:r>
        <w:rPr>
          <w:rFonts w:hint="eastAsia"/>
        </w:rPr>
        <w:t>（三）下一级人民代表大会和常务委员会。</w:t>
      </w:r>
    </w:p>
    <w:p>
      <w:pPr>
        <w:ind w:firstLine="640" w:firstLineChars="200"/>
      </w:pPr>
      <w:r>
        <w:rPr>
          <w:rFonts w:hint="eastAsia" w:hAnsi="黑体" w:eastAsia="黑体"/>
        </w:rPr>
        <w:t>第十条</w:t>
      </w:r>
      <w:r>
        <w:rPr>
          <w:rFonts w:eastAsia="黑体"/>
        </w:rPr>
        <w:t xml:space="preserve">  </w:t>
      </w:r>
      <w:r>
        <w:rPr>
          <w:rFonts w:hint="eastAsia"/>
        </w:rPr>
        <w:t>常务委员会在本行政区域内依法实施法律监督的内容：</w:t>
      </w:r>
    </w:p>
    <w:p>
      <w:pPr>
        <w:ind w:firstLine="640" w:firstLineChars="200"/>
      </w:pPr>
      <w:r>
        <w:rPr>
          <w:rFonts w:hint="eastAsia"/>
        </w:rPr>
        <w:t>（一）本级人民政府、人民法院、人民检察院遵守和执行宪法、法律、法规以及上级和本级人民代表大会及其常务委员会决议、决定的情况；</w:t>
      </w:r>
    </w:p>
    <w:p>
      <w:pPr>
        <w:ind w:firstLine="640" w:firstLineChars="200"/>
      </w:pPr>
      <w:r>
        <w:rPr>
          <w:rFonts w:hint="eastAsia"/>
        </w:rPr>
        <w:t>（二）本级人民政府发布的规章或者决定、命令及其他规范性文件；</w:t>
      </w:r>
    </w:p>
    <w:p>
      <w:pPr>
        <w:ind w:firstLine="640" w:firstLineChars="200"/>
      </w:pPr>
      <w:r>
        <w:rPr>
          <w:rFonts w:hint="eastAsia"/>
        </w:rPr>
        <w:t>（三）本级人民法院、人民检察院制定的执行最高人民法院、最高人民检察院司法解释的规范性文件；</w:t>
      </w:r>
    </w:p>
    <w:p>
      <w:pPr>
        <w:ind w:firstLine="640" w:firstLineChars="200"/>
      </w:pPr>
      <w:r>
        <w:rPr>
          <w:rFonts w:hint="eastAsia"/>
        </w:rPr>
        <w:t>（四）本级人民法院、人民检察院与公安机关、司法行政机关依法办案、公正司法的情况；</w:t>
      </w:r>
    </w:p>
    <w:p>
      <w:pPr>
        <w:ind w:firstLine="640" w:firstLineChars="200"/>
      </w:pPr>
      <w:r>
        <w:rPr>
          <w:rFonts w:hint="eastAsia"/>
        </w:rPr>
        <w:t>（五）下一级人民代表大会和常务委员会作出的决议、决定；</w:t>
      </w:r>
    </w:p>
    <w:p>
      <w:pPr>
        <w:ind w:firstLine="640" w:firstLineChars="200"/>
      </w:pPr>
      <w:r>
        <w:rPr>
          <w:rFonts w:hint="eastAsia"/>
        </w:rPr>
        <w:t>（六）应当由常务委员会实施法律监督的其他事项。</w:t>
      </w:r>
    </w:p>
    <w:p>
      <w:pPr>
        <w:ind w:firstLine="640" w:firstLineChars="200"/>
      </w:pPr>
      <w:r>
        <w:rPr>
          <w:rFonts w:hint="eastAsia" w:hAnsi="黑体" w:eastAsia="黑体"/>
        </w:rPr>
        <w:t>第十一条</w:t>
      </w:r>
      <w:r>
        <w:rPr>
          <w:rFonts w:eastAsia="黑体"/>
        </w:rPr>
        <w:t xml:space="preserve">  </w:t>
      </w:r>
      <w:r>
        <w:rPr>
          <w:rFonts w:hint="eastAsia"/>
        </w:rPr>
        <w:t>常务委员会在本行政区域内依法实施工作监督的内容：</w:t>
      </w:r>
    </w:p>
    <w:p>
      <w:pPr>
        <w:ind w:firstLine="640" w:firstLineChars="200"/>
      </w:pPr>
      <w:r>
        <w:rPr>
          <w:rFonts w:hint="eastAsia"/>
        </w:rPr>
        <w:t>（一）本级人民代表大会通过的人民政府工作报告、人民法院工作报告、人民检察院工作报告的执行情况；</w:t>
      </w:r>
    </w:p>
    <w:p>
      <w:pPr>
        <w:ind w:firstLine="640" w:firstLineChars="200"/>
      </w:pPr>
      <w:r>
        <w:rPr>
          <w:rFonts w:hint="eastAsia"/>
        </w:rPr>
        <w:t>（二）本级人民代表大会批准的国民经济和社会发展计划、预算以及本级人民代表大会常务委员会对其作出的部分变更决定的执行情况；</w:t>
      </w:r>
    </w:p>
    <w:p>
      <w:pPr>
        <w:ind w:firstLine="640" w:firstLineChars="200"/>
      </w:pPr>
      <w:r>
        <w:rPr>
          <w:rFonts w:hint="eastAsia"/>
        </w:rPr>
        <w:t>（三）本行政区域内政治、经济、教育、科学、文化、卫生、环境和资源保护、民政、民族等工作的重大事项；</w:t>
      </w:r>
    </w:p>
    <w:p>
      <w:pPr>
        <w:ind w:firstLine="640" w:firstLineChars="200"/>
      </w:pPr>
      <w:r>
        <w:rPr>
          <w:rFonts w:hint="eastAsia"/>
        </w:rPr>
        <w:t>（四）本级人民法院、人民检察院履行审判职能、检察职能的重要情况；</w:t>
      </w:r>
    </w:p>
    <w:p>
      <w:pPr>
        <w:ind w:firstLine="640" w:firstLineChars="200"/>
      </w:pPr>
      <w:r>
        <w:rPr>
          <w:rFonts w:hint="eastAsia"/>
        </w:rPr>
        <w:t>（五）本级人民代表大会代表提出的建议、批评、意见的办理情况，以及公民、法人、其他组织提出的申诉、控告、检举的处理情况；</w:t>
      </w:r>
    </w:p>
    <w:p>
      <w:pPr>
        <w:ind w:firstLine="640" w:firstLineChars="200"/>
      </w:pPr>
      <w:r>
        <w:rPr>
          <w:rFonts w:hint="eastAsia"/>
        </w:rPr>
        <w:t>（六）应当由常务委员会实施工作监督的其他事项。</w:t>
      </w:r>
    </w:p>
    <w:p>
      <w:pPr>
        <w:ind w:firstLine="640" w:firstLineChars="200"/>
      </w:pPr>
      <w:r>
        <w:rPr>
          <w:rFonts w:hint="eastAsia" w:hAnsi="黑体" w:eastAsia="黑体"/>
        </w:rPr>
        <w:t>第十二条</w:t>
      </w:r>
      <w:r>
        <w:rPr>
          <w:rFonts w:eastAsia="黑体"/>
        </w:rPr>
        <w:t xml:space="preserve">  </w:t>
      </w:r>
      <w:r>
        <w:rPr>
          <w:rFonts w:hint="eastAsia"/>
        </w:rPr>
        <w:t>常务委员会对本级人民代表大会及其常务委员会选举、任命的国家机关工作人员进行监督的主要内容：</w:t>
      </w:r>
    </w:p>
    <w:p>
      <w:pPr>
        <w:ind w:firstLine="640" w:firstLineChars="200"/>
      </w:pPr>
      <w:r>
        <w:rPr>
          <w:rFonts w:hint="eastAsia"/>
        </w:rPr>
        <w:t>（一）遵守和执行宪法、法律、法规以及上级和本级人民代表大会及其常务委员会决议、决定情况；</w:t>
      </w:r>
    </w:p>
    <w:p>
      <w:pPr>
        <w:ind w:firstLine="640" w:firstLineChars="200"/>
      </w:pPr>
      <w:r>
        <w:rPr>
          <w:rFonts w:hint="eastAsia"/>
        </w:rPr>
        <w:t>（二）履行职责情况；</w:t>
      </w:r>
    </w:p>
    <w:p>
      <w:pPr>
        <w:ind w:firstLine="640" w:firstLineChars="200"/>
      </w:pPr>
      <w:r>
        <w:rPr>
          <w:rFonts w:hint="eastAsia"/>
        </w:rPr>
        <w:t>（三）勤政廉政情况。</w:t>
      </w:r>
    </w:p>
    <w:p>
      <w:pPr>
        <w:ind w:firstLine="640" w:firstLineChars="200"/>
      </w:pPr>
      <w:r>
        <w:rPr>
          <w:rFonts w:hint="eastAsia" w:hAnsi="黑体" w:eastAsia="黑体"/>
        </w:rPr>
        <w:t>第十三条</w:t>
      </w:r>
      <w:r>
        <w:rPr>
          <w:rFonts w:eastAsia="黑体"/>
        </w:rPr>
        <w:t xml:space="preserve">  </w:t>
      </w:r>
      <w:r>
        <w:rPr>
          <w:rFonts w:hint="eastAsia"/>
        </w:rPr>
        <w:t>常务委员会对本行政区域内不属于本级人民政府管理的国家机关和企业、事业单位遵守和执行宪法、法律、法规以及上级和本级人民代表大会及其常务委员会决议、决定的情况依法实施监督。</w:t>
      </w:r>
    </w:p>
    <w:p>
      <w:pPr>
        <w:ind w:firstLine="640" w:firstLineChars="200"/>
      </w:pPr>
    </w:p>
    <w:p>
      <w:pPr>
        <w:jc w:val="center"/>
        <w:rPr>
          <w:rFonts w:eastAsia="黑体"/>
        </w:rPr>
      </w:pPr>
      <w:r>
        <w:rPr>
          <w:rFonts w:hint="eastAsia" w:hAnsi="黑体" w:eastAsia="黑体"/>
        </w:rPr>
        <w:t>第三章</w:t>
      </w:r>
      <w:r>
        <w:rPr>
          <w:rFonts w:eastAsia="黑体"/>
        </w:rPr>
        <w:t xml:space="preserve">  </w:t>
      </w:r>
      <w:r>
        <w:rPr>
          <w:rFonts w:hint="eastAsia" w:hAnsi="黑体" w:eastAsia="黑体"/>
        </w:rPr>
        <w:t>监督方式和程序</w:t>
      </w:r>
    </w:p>
    <w:p>
      <w:pPr>
        <w:jc w:val="center"/>
        <w:rPr>
          <w:rFonts w:eastAsia="黑体"/>
        </w:rPr>
      </w:pPr>
    </w:p>
    <w:p>
      <w:pPr>
        <w:jc w:val="center"/>
        <w:rPr>
          <w:rFonts w:hint="eastAsia" w:eastAsia="楷体_GB2312"/>
        </w:rPr>
      </w:pPr>
      <w:r>
        <w:rPr>
          <w:rFonts w:hint="eastAsia" w:eastAsia="楷体_GB2312"/>
        </w:rPr>
        <w:t>第一节  一般规定</w:t>
      </w:r>
    </w:p>
    <w:p>
      <w:pPr>
        <w:jc w:val="center"/>
        <w:rPr>
          <w:rFonts w:eastAsia="楷体"/>
        </w:rPr>
      </w:pPr>
    </w:p>
    <w:p>
      <w:pPr>
        <w:ind w:firstLine="640" w:firstLineChars="200"/>
      </w:pPr>
      <w:r>
        <w:rPr>
          <w:rFonts w:hint="eastAsia" w:hAnsi="黑体" w:eastAsia="黑体"/>
        </w:rPr>
        <w:t>第十四条</w:t>
      </w:r>
      <w:r>
        <w:rPr>
          <w:rFonts w:eastAsia="黑体"/>
        </w:rPr>
        <w:t xml:space="preserve">  </w:t>
      </w:r>
      <w:r>
        <w:rPr>
          <w:rFonts w:hint="eastAsia"/>
        </w:rPr>
        <w:t>常务委员会实施监督的主要方式：</w:t>
      </w:r>
    </w:p>
    <w:p>
      <w:pPr>
        <w:ind w:firstLine="640" w:firstLineChars="200"/>
      </w:pPr>
      <w:r>
        <w:rPr>
          <w:rFonts w:hint="eastAsia"/>
        </w:rPr>
        <w:t>（一）听取和审议专项工作报告；</w:t>
      </w:r>
    </w:p>
    <w:p>
      <w:pPr>
        <w:ind w:firstLine="640" w:firstLineChars="200"/>
      </w:pPr>
      <w:r>
        <w:rPr>
          <w:rFonts w:hint="eastAsia"/>
        </w:rPr>
        <w:t>（二）审查和批准决算，听取和审议国民经济和社会发展计划、预算的执行情况报告，听取和审议审计工作报告；</w:t>
      </w:r>
    </w:p>
    <w:p>
      <w:pPr>
        <w:ind w:firstLine="640" w:firstLineChars="200"/>
      </w:pPr>
      <w:r>
        <w:rPr>
          <w:rFonts w:hint="eastAsia"/>
        </w:rPr>
        <w:t>（三）规范性文件的备案审查；</w:t>
      </w:r>
    </w:p>
    <w:p>
      <w:pPr>
        <w:ind w:firstLine="640" w:firstLineChars="200"/>
      </w:pPr>
      <w:r>
        <w:rPr>
          <w:rFonts w:hint="eastAsia"/>
        </w:rPr>
        <w:t>（四）执法检查；</w:t>
      </w:r>
    </w:p>
    <w:p>
      <w:pPr>
        <w:ind w:firstLine="640" w:firstLineChars="200"/>
      </w:pPr>
      <w:r>
        <w:rPr>
          <w:rFonts w:hint="eastAsia"/>
        </w:rPr>
        <w:t>（五）询问和质询；</w:t>
      </w:r>
    </w:p>
    <w:p>
      <w:pPr>
        <w:ind w:firstLine="640" w:firstLineChars="200"/>
      </w:pPr>
      <w:r>
        <w:rPr>
          <w:rFonts w:hint="eastAsia"/>
        </w:rPr>
        <w:t>（六）特定问题调查；</w:t>
      </w:r>
    </w:p>
    <w:p>
      <w:pPr>
        <w:ind w:firstLine="640" w:firstLineChars="200"/>
      </w:pPr>
      <w:r>
        <w:rPr>
          <w:rFonts w:hint="eastAsia"/>
        </w:rPr>
        <w:t>（七）撤职案的审议和决定。</w:t>
      </w:r>
    </w:p>
    <w:p>
      <w:pPr>
        <w:ind w:firstLine="640" w:firstLineChars="200"/>
      </w:pPr>
      <w:r>
        <w:rPr>
          <w:rFonts w:hint="eastAsia"/>
        </w:rPr>
        <w:t>常务委员会根据具体情况和实际需要，可以运用符合宪法、法律规定精神的其他监督方式。</w:t>
      </w:r>
    </w:p>
    <w:p>
      <w:r>
        <w:t xml:space="preserve">    </w:t>
      </w:r>
      <w:r>
        <w:rPr>
          <w:rFonts w:hint="eastAsia"/>
        </w:rPr>
        <w:t>本条规定的监督方式，可以单独运用，也可以综合运用。</w:t>
      </w:r>
    </w:p>
    <w:p>
      <w:pPr>
        <w:ind w:firstLine="640" w:firstLineChars="200"/>
      </w:pPr>
      <w:r>
        <w:rPr>
          <w:rFonts w:hint="eastAsia" w:hAnsi="黑体" w:eastAsia="黑体"/>
        </w:rPr>
        <w:t>第十五条</w:t>
      </w:r>
      <w:r>
        <w:rPr>
          <w:rFonts w:eastAsia="黑体"/>
        </w:rPr>
        <w:t xml:space="preserve">  </w:t>
      </w:r>
      <w:r>
        <w:rPr>
          <w:rFonts w:hint="eastAsia"/>
        </w:rPr>
        <w:t>常务委员会对受监督的国家机关或者工作人员的监督意见，除依法作出决议、决定外，可以采取监督意见书的形式。</w:t>
      </w:r>
    </w:p>
    <w:p>
      <w:pPr>
        <w:ind w:firstLine="640" w:firstLineChars="200"/>
      </w:pPr>
      <w:r>
        <w:rPr>
          <w:rFonts w:hint="eastAsia"/>
        </w:rPr>
        <w:t>监督意见书应当写明受监督的对象、内容、理由等，由主任会议交有关机构办理。有关国家机关应当在规定期限内向常务委员会报告处理结果。</w:t>
      </w:r>
    </w:p>
    <w:p>
      <w:pPr>
        <w:ind w:firstLine="640" w:firstLineChars="200"/>
      </w:pPr>
      <w:r>
        <w:rPr>
          <w:rFonts w:hint="eastAsia"/>
        </w:rPr>
        <w:t>监督意见书的格式，由省人民代表大会常务委员会有关工作机构统一制定。</w:t>
      </w:r>
    </w:p>
    <w:p>
      <w:pPr>
        <w:ind w:firstLine="640" w:firstLineChars="200"/>
      </w:pPr>
    </w:p>
    <w:p>
      <w:pPr>
        <w:jc w:val="center"/>
        <w:rPr>
          <w:rFonts w:hint="eastAsia" w:eastAsia="楷体_GB2312"/>
        </w:rPr>
      </w:pPr>
      <w:r>
        <w:rPr>
          <w:rFonts w:hint="eastAsia" w:eastAsia="楷体_GB2312"/>
        </w:rPr>
        <w:t>第二节  听取和审议专项工作报告</w:t>
      </w:r>
    </w:p>
    <w:p>
      <w:pPr>
        <w:jc w:val="center"/>
        <w:rPr>
          <w:rFonts w:eastAsia="楷体"/>
        </w:rPr>
      </w:pPr>
    </w:p>
    <w:p>
      <w:pPr>
        <w:ind w:firstLine="640" w:firstLineChars="200"/>
      </w:pPr>
      <w:r>
        <w:rPr>
          <w:rFonts w:hint="eastAsia" w:hAnsi="黑体" w:eastAsia="黑体"/>
        </w:rPr>
        <w:t>第十六条</w:t>
      </w:r>
      <w:r>
        <w:rPr>
          <w:rFonts w:eastAsia="黑体"/>
        </w:rPr>
        <w:t xml:space="preserve">  </w:t>
      </w:r>
      <w:r>
        <w:rPr>
          <w:rFonts w:hint="eastAsia"/>
        </w:rPr>
        <w:t>常务委员会每年选择若干关系改革发展稳定大局和群众切身利益、社会普遍关注的重大问题，有计划地安排听取和审议本级人民政府、人民法院和人民检察院的专项工作报告。</w:t>
      </w:r>
    </w:p>
    <w:p>
      <w:pPr>
        <w:ind w:firstLine="640" w:firstLineChars="200"/>
      </w:pPr>
      <w:r>
        <w:rPr>
          <w:rFonts w:hint="eastAsia" w:hAnsi="黑体" w:eastAsia="黑体"/>
        </w:rPr>
        <w:t>第十七条</w:t>
      </w:r>
      <w:r>
        <w:t xml:space="preserve">  </w:t>
      </w:r>
      <w:r>
        <w:rPr>
          <w:rFonts w:hint="eastAsia"/>
        </w:rPr>
        <w:t>常务委员会听取和审议专项工作报告的年度计划，经主任会议通过，印发常务委员会组成人员并向社会公布。</w:t>
      </w:r>
    </w:p>
    <w:p>
      <w:pPr>
        <w:ind w:firstLine="640" w:firstLineChars="200"/>
      </w:pPr>
      <w:r>
        <w:rPr>
          <w:rFonts w:hint="eastAsia" w:hAnsi="黑体" w:eastAsia="黑体"/>
        </w:rPr>
        <w:t>第十八条</w:t>
      </w:r>
      <w:r>
        <w:rPr>
          <w:rFonts w:eastAsia="黑体"/>
        </w:rPr>
        <w:t xml:space="preserve">  </w:t>
      </w:r>
      <w:r>
        <w:rPr>
          <w:rFonts w:hint="eastAsia"/>
        </w:rPr>
        <w:t>主任会议可以向常务委员会提出审议的专项工作报告议题。</w:t>
      </w:r>
    </w:p>
    <w:p>
      <w:pPr>
        <w:ind w:firstLine="640" w:firstLineChars="200"/>
      </w:pPr>
      <w:r>
        <w:rPr>
          <w:rFonts w:hint="eastAsia"/>
        </w:rPr>
        <w:t>本级人民政府、人民法院、人民检察院、专门委员会可以向常务委员会提出审议的专项工作报告议题，由主任会议决定提请常务委员会会议审议。</w:t>
      </w:r>
    </w:p>
    <w:p>
      <w:pPr>
        <w:ind w:firstLine="640" w:firstLineChars="200"/>
      </w:pPr>
      <w:r>
        <w:rPr>
          <w:rFonts w:hint="eastAsia"/>
        </w:rPr>
        <w:t>省、设区的市的人民代表大会常务委员会组成人员五人以上书面联名，县级人民代表大会常务委员会组成人员三人以上书面联名，可以向本级人民代表大会常务委员会提出审议的专项工作报告议题，由主任会议决定是否提请常务委员会会议审议。</w:t>
      </w:r>
    </w:p>
    <w:p>
      <w:pPr>
        <w:ind w:firstLine="640" w:firstLineChars="200"/>
        <w:rPr>
          <w:spacing w:val="-4"/>
        </w:rPr>
      </w:pPr>
      <w:r>
        <w:rPr>
          <w:rFonts w:hint="eastAsia"/>
        </w:rPr>
        <w:t>常</w:t>
      </w:r>
      <w:r>
        <w:rPr>
          <w:rFonts w:hint="eastAsia"/>
          <w:spacing w:val="-4"/>
        </w:rPr>
        <w:t>务委员会工作机构可以向常务委员会提出审议的专项工作报告议题的建议，由主任会议决定是否提请常务委员会会议审议。</w:t>
      </w:r>
    </w:p>
    <w:p>
      <w:pPr>
        <w:ind w:firstLine="640" w:firstLineChars="200"/>
      </w:pPr>
      <w:r>
        <w:rPr>
          <w:rFonts w:hint="eastAsia" w:hAnsi="黑体" w:eastAsia="黑体"/>
        </w:rPr>
        <w:t>第十九条</w:t>
      </w:r>
      <w:r>
        <w:rPr>
          <w:rFonts w:eastAsia="黑体"/>
        </w:rPr>
        <w:t xml:space="preserve">  </w:t>
      </w:r>
      <w:r>
        <w:rPr>
          <w:rFonts w:hint="eastAsia"/>
        </w:rPr>
        <w:t>常务委员会听取和审议专项工作报告前，主任会议可以组织常务委员会组成人员和本级人民代表大会代表，对有关工作进行视察或者专题调查研究；有关专门委员会或者常务委员会工作机构可以就专项工作报告的有关事项组织调查研究。</w:t>
      </w:r>
    </w:p>
    <w:p>
      <w:pPr>
        <w:ind w:firstLine="640" w:firstLineChars="200"/>
      </w:pPr>
      <w:r>
        <w:rPr>
          <w:rFonts w:hint="eastAsia"/>
        </w:rPr>
        <w:t>常务委员会可以安排参加视察或者专题调查研究的代表列席常务委员会会议，听取专项工作报告，提出意见。</w:t>
      </w:r>
    </w:p>
    <w:p>
      <w:pPr>
        <w:ind w:firstLine="640" w:firstLineChars="200"/>
      </w:pPr>
      <w:r>
        <w:rPr>
          <w:rFonts w:hint="eastAsia" w:hAnsi="黑体" w:eastAsia="黑体"/>
        </w:rPr>
        <w:t>第二十条</w:t>
      </w:r>
      <w:r>
        <w:rPr>
          <w:rFonts w:eastAsia="黑体"/>
        </w:rPr>
        <w:t xml:space="preserve">  </w:t>
      </w:r>
      <w:r>
        <w:rPr>
          <w:rFonts w:hint="eastAsia"/>
        </w:rPr>
        <w:t>常务委员会听取和审议专项工作报告前，常务委员会办事机构应当将各方面对该项工作的意见汇总，交由本级人民政府、人民法院和人民检察院研究并在专项工作报告中作出回应。</w:t>
      </w:r>
    </w:p>
    <w:p>
      <w:pPr>
        <w:ind w:firstLine="640" w:firstLineChars="200"/>
      </w:pPr>
      <w:r>
        <w:rPr>
          <w:rFonts w:hint="eastAsia" w:hAnsi="黑体" w:eastAsia="黑体"/>
        </w:rPr>
        <w:t>第二十一条</w:t>
      </w:r>
      <w:r>
        <w:rPr>
          <w:rFonts w:eastAsia="黑体"/>
        </w:rPr>
        <w:t xml:space="preserve">  </w:t>
      </w:r>
      <w:r>
        <w:rPr>
          <w:rFonts w:hint="eastAsia"/>
        </w:rPr>
        <w:t>人民政府、人民法院和人民检察院应当在常务委员会举行会议的二十日前，由其办事机构将专项工作报告送交有关专门委员会或者常务委员会有关工作机构征求意见；人民政府、人民法院和人民检察院对报告修改后，在常务委员会举行会议的十日前送交常务委员会。</w:t>
      </w:r>
    </w:p>
    <w:p>
      <w:pPr>
        <w:ind w:firstLine="640" w:firstLineChars="200"/>
      </w:pPr>
      <w:r>
        <w:rPr>
          <w:rFonts w:hint="eastAsia"/>
        </w:rPr>
        <w:t>常务委员会办事机构应当在常务委员会举行会议的七日前，将专项工作报告发给常务委员会组成人员。</w:t>
      </w:r>
    </w:p>
    <w:p>
      <w:pPr>
        <w:ind w:firstLine="640" w:firstLineChars="200"/>
      </w:pPr>
      <w:r>
        <w:rPr>
          <w:rFonts w:hint="eastAsia" w:hAnsi="黑体" w:eastAsia="黑体"/>
        </w:rPr>
        <w:t>第二十二条</w:t>
      </w:r>
      <w:r>
        <w:rPr>
          <w:rFonts w:eastAsia="黑体"/>
        </w:rPr>
        <w:t xml:space="preserve">  </w:t>
      </w:r>
      <w:r>
        <w:rPr>
          <w:rFonts w:hint="eastAsia"/>
        </w:rPr>
        <w:t>专项工作报告由人民政府、人民法院和人民检察院的负责人向常务委员会报告，人民政府也可以委托有关部门负责人向常务委员会报告。</w:t>
      </w:r>
    </w:p>
    <w:p>
      <w:pPr>
        <w:ind w:firstLine="640" w:firstLineChars="200"/>
      </w:pPr>
      <w:r>
        <w:rPr>
          <w:rFonts w:hint="eastAsia" w:hAnsi="黑体" w:eastAsia="黑体"/>
        </w:rPr>
        <w:t>第二十三条</w:t>
      </w:r>
      <w:r>
        <w:rPr>
          <w:rFonts w:eastAsia="黑体"/>
        </w:rPr>
        <w:t xml:space="preserve">  </w:t>
      </w:r>
      <w:r>
        <w:rPr>
          <w:rFonts w:hint="eastAsia"/>
        </w:rPr>
        <w:t>常务委员会会议审议专项工作报告时，有关机关的负责人应当到会听取审议意见。</w:t>
      </w:r>
    </w:p>
    <w:p>
      <w:pPr>
        <w:ind w:firstLine="640" w:firstLineChars="200"/>
      </w:pPr>
      <w:r>
        <w:rPr>
          <w:rFonts w:hint="eastAsia" w:hAnsi="黑体" w:eastAsia="黑体"/>
        </w:rPr>
        <w:t>第二十四条</w:t>
      </w:r>
      <w:r>
        <w:rPr>
          <w:rFonts w:eastAsia="黑体"/>
        </w:rPr>
        <w:t xml:space="preserve">  </w:t>
      </w:r>
      <w:r>
        <w:rPr>
          <w:rFonts w:hint="eastAsia"/>
        </w:rPr>
        <w:t>常务委员会听取和审议专项工作报告，可以组织常务委员会组成人员和本级人民代表大会代表进行工作评议。在进行工作评议时，可以要求同级人民政府审计部门提出对被评议单位相关工作的审计报告，并可以组织对被评议单位有关工作人员进行法律知识考试。</w:t>
      </w:r>
    </w:p>
    <w:p>
      <w:pPr>
        <w:ind w:firstLine="640" w:firstLineChars="200"/>
      </w:pPr>
      <w:r>
        <w:rPr>
          <w:rFonts w:hint="eastAsia" w:hAnsi="黑体" w:eastAsia="黑体"/>
        </w:rPr>
        <w:t>第二十五条</w:t>
      </w:r>
      <w:r>
        <w:rPr>
          <w:rFonts w:eastAsia="黑体"/>
        </w:rPr>
        <w:t xml:space="preserve">  </w:t>
      </w:r>
      <w:r>
        <w:rPr>
          <w:rFonts w:hint="eastAsia"/>
        </w:rPr>
        <w:t>常务委员会组成人员对专项工作报告的审议意见交由本级人民政府、人民法院和人民检察院研究处理。人民政府、人民法院和人民检察院应当将研究处理情况由其办事机构送交有关专门委员会或者常务委员会有关工作机构征求意见后，向常务委员会提出书面报告。</w:t>
      </w:r>
    </w:p>
    <w:p>
      <w:pPr>
        <w:ind w:firstLine="640" w:firstLineChars="200"/>
      </w:pPr>
      <w:r>
        <w:rPr>
          <w:rFonts w:hint="eastAsia"/>
        </w:rPr>
        <w:t>常务委员会认为必要时，可以对专项工作报告作出决议；本级人民政府、人民法院和人民检察院应当在决议规定的期限内，将执行决议的情况向常务委员会报告。</w:t>
      </w:r>
    </w:p>
    <w:p>
      <w:pPr>
        <w:ind w:firstLine="640" w:firstLineChars="200"/>
      </w:pPr>
      <w:r>
        <w:rPr>
          <w:rFonts w:hint="eastAsia" w:hAnsi="黑体" w:eastAsia="黑体"/>
        </w:rPr>
        <w:t>第二十六条</w:t>
      </w:r>
      <w:r>
        <w:rPr>
          <w:rFonts w:eastAsia="黑体"/>
        </w:rPr>
        <w:t xml:space="preserve"> </w:t>
      </w:r>
      <w:r>
        <w:t xml:space="preserve"> </w:t>
      </w:r>
      <w:r>
        <w:rPr>
          <w:rFonts w:hint="eastAsia"/>
        </w:rPr>
        <w:t>省、设区的市的人民代表大会常务委员会组成人员五人以上书面联名，县级人民代表大会常务委员会组成人员三人以上书面联名，对专项工作报告不满意并要求常务委员会会议表决的，由主任会议决定是否提请常务委员会会议表决。提请常务委员会会议表决的专项工作报告，常务委员会组成人员半数以上不满意的，常务委员会应当责成报告机关在下次会议上重作报告。</w:t>
      </w:r>
    </w:p>
    <w:p>
      <w:pPr>
        <w:ind w:firstLine="640" w:firstLineChars="200"/>
      </w:pPr>
      <w:r>
        <w:rPr>
          <w:rFonts w:hint="eastAsia"/>
        </w:rPr>
        <w:t>常务委员会组成人员半数以上对重作的报告仍不满意的，常务委员会应当作出相应的决议、决定。</w:t>
      </w:r>
    </w:p>
    <w:p>
      <w:pPr>
        <w:ind w:firstLine="640" w:firstLineChars="200"/>
        <w:rPr>
          <w:spacing w:val="-4"/>
        </w:rPr>
      </w:pPr>
      <w:r>
        <w:rPr>
          <w:rFonts w:hint="eastAsia" w:hAnsi="黑体" w:eastAsia="黑体"/>
        </w:rPr>
        <w:t>第二十七条</w:t>
      </w:r>
      <w:r>
        <w:rPr>
          <w:rFonts w:eastAsia="黑体"/>
        </w:rPr>
        <w:t xml:space="preserve">  </w:t>
      </w:r>
      <w:r>
        <w:rPr>
          <w:rFonts w:hint="eastAsia"/>
          <w:spacing w:val="-4"/>
        </w:rPr>
        <w:t>常务委员会听取的专项工作报告及审议意见，人民政府、人民法院和人民检察院对审议意见研究处理情况或者执行决议情况的报告，向本级人民代表大会代表通报并向社会公布。</w:t>
      </w:r>
    </w:p>
    <w:p>
      <w:pPr>
        <w:ind w:firstLine="640" w:firstLineChars="200"/>
      </w:pPr>
    </w:p>
    <w:p>
      <w:pPr>
        <w:jc w:val="center"/>
        <w:rPr>
          <w:rFonts w:hint="eastAsia" w:eastAsia="楷体_GB2312"/>
        </w:rPr>
      </w:pPr>
      <w:r>
        <w:rPr>
          <w:rFonts w:hint="eastAsia" w:eastAsia="楷体_GB2312"/>
        </w:rPr>
        <w:t>第三节  规范性文件的备案审查</w:t>
      </w:r>
    </w:p>
    <w:p>
      <w:pPr>
        <w:jc w:val="center"/>
        <w:rPr>
          <w:rFonts w:eastAsia="楷体"/>
        </w:rPr>
      </w:pPr>
    </w:p>
    <w:p>
      <w:pPr>
        <w:ind w:firstLine="640" w:firstLineChars="200"/>
      </w:pPr>
      <w:r>
        <w:rPr>
          <w:rFonts w:hint="eastAsia" w:hAnsi="黑体" w:eastAsia="黑体"/>
        </w:rPr>
        <w:t>第二十八条</w:t>
      </w:r>
      <w:r>
        <w:rPr>
          <w:rFonts w:eastAsia="黑体"/>
        </w:rPr>
        <w:t xml:space="preserve"> </w:t>
      </w:r>
      <w:r>
        <w:t xml:space="preserve"> </w:t>
      </w:r>
      <w:r>
        <w:rPr>
          <w:rFonts w:hint="eastAsia"/>
        </w:rPr>
        <w:t>下列规范性文件，应当报送本级人民代表大会常务委员会备案：</w:t>
      </w:r>
    </w:p>
    <w:p>
      <w:pPr>
        <w:ind w:firstLine="640" w:firstLineChars="200"/>
      </w:pPr>
      <w:r>
        <w:rPr>
          <w:rFonts w:hint="eastAsia"/>
        </w:rPr>
        <w:t>（一）省、设区的市人民政府制定的规章；</w:t>
      </w:r>
    </w:p>
    <w:p>
      <w:pPr>
        <w:ind w:firstLine="640" w:firstLineChars="200"/>
      </w:pPr>
      <w:r>
        <w:rPr>
          <w:rFonts w:hint="eastAsia"/>
        </w:rPr>
        <w:t>（二）县级以上地方人民政府发布的决定、命令以及其他规范性文件；</w:t>
      </w:r>
    </w:p>
    <w:p>
      <w:pPr>
        <w:ind w:firstLine="640" w:firstLineChars="200"/>
      </w:pPr>
      <w:r>
        <w:rPr>
          <w:rFonts w:hint="eastAsia"/>
        </w:rPr>
        <w:t>（三）人民法院、人民检察院制定的执行最高人民法院、最高人民检察院司法解释的规范性文件；</w:t>
      </w:r>
    </w:p>
    <w:p>
      <w:pPr>
        <w:ind w:firstLine="640" w:firstLineChars="200"/>
      </w:pPr>
      <w:r>
        <w:rPr>
          <w:rFonts w:hint="eastAsia"/>
        </w:rPr>
        <w:t>（四）省、设区的市人民政府及其所属部门对本级人民代表大会及其常务委员会制定的地方性法规具体应用问题的解释。</w:t>
      </w:r>
    </w:p>
    <w:p>
      <w:pPr>
        <w:ind w:firstLine="624" w:firstLineChars="200"/>
        <w:rPr>
          <w:spacing w:val="-4"/>
        </w:rPr>
      </w:pPr>
      <w:r>
        <w:rPr>
          <w:rFonts w:hint="eastAsia"/>
          <w:spacing w:val="-4"/>
        </w:rPr>
        <w:t>设区的市人民政府制定的规章，在报送本级人民代表大会常务委员会备案的同时，还应当报送省人民代表大会常务委员会备案。</w:t>
      </w:r>
    </w:p>
    <w:p>
      <w:pPr>
        <w:ind w:firstLine="640" w:firstLineChars="200"/>
      </w:pPr>
      <w:r>
        <w:rPr>
          <w:rFonts w:hint="eastAsia" w:hAnsi="黑体" w:eastAsia="黑体"/>
        </w:rPr>
        <w:t>第二十九条</w:t>
      </w:r>
      <w:r>
        <w:rPr>
          <w:rFonts w:eastAsia="黑体"/>
        </w:rPr>
        <w:t xml:space="preserve">  </w:t>
      </w:r>
      <w:r>
        <w:rPr>
          <w:rFonts w:hint="eastAsia"/>
        </w:rPr>
        <w:t>各级人民代表大会和常务委员会的决议、决定在颁布的同时，应当报送上一级人民代表大会常务委员会备案。</w:t>
      </w:r>
    </w:p>
    <w:p>
      <w:pPr>
        <w:ind w:firstLine="640" w:firstLineChars="200"/>
      </w:pPr>
      <w:r>
        <w:rPr>
          <w:rFonts w:hint="eastAsia" w:hAnsi="黑体" w:eastAsia="黑体"/>
        </w:rPr>
        <w:t>第三十条</w:t>
      </w:r>
      <w:r>
        <w:rPr>
          <w:rFonts w:eastAsia="黑体"/>
        </w:rPr>
        <w:t xml:space="preserve">  </w:t>
      </w:r>
      <w:r>
        <w:rPr>
          <w:rFonts w:hint="eastAsia"/>
        </w:rPr>
        <w:t>在规范性文件审查中，认为规范性文件同宪法、法律、法规相抵触或者不适当的，由人民代表大会法制委员会或者常务委员会承担备案审查工作的机构，会同有关专门委员会、常务委员会工作机构研究后，交制定机关研究处理。制定机关不予纠正的，法制委员会或者承担备案审查工作的机构应当向主任会议报告，由主任会议决定是否提请常务委员会会议审议决定。</w:t>
      </w:r>
    </w:p>
    <w:p>
      <w:pPr>
        <w:ind w:firstLine="640" w:firstLineChars="200"/>
      </w:pPr>
      <w:r>
        <w:rPr>
          <w:rFonts w:hint="eastAsia" w:hAnsi="黑体" w:eastAsia="黑体"/>
        </w:rPr>
        <w:t>第三十一条</w:t>
      </w:r>
      <w:r>
        <w:rPr>
          <w:rFonts w:eastAsia="黑体"/>
        </w:rPr>
        <w:t xml:space="preserve">  </w:t>
      </w:r>
      <w:r>
        <w:rPr>
          <w:rFonts w:hint="eastAsia"/>
        </w:rPr>
        <w:t>规范性文件备案审查的具体办法，由省人民代表大会常务委员会另行规定。</w:t>
      </w:r>
    </w:p>
    <w:p>
      <w:pPr>
        <w:ind w:firstLine="640" w:firstLineChars="200"/>
      </w:pPr>
    </w:p>
    <w:p>
      <w:pPr>
        <w:numPr>
          <w:ilvl w:val="0"/>
          <w:numId w:val="1"/>
        </w:numPr>
        <w:jc w:val="center"/>
        <w:rPr>
          <w:rFonts w:hint="eastAsia" w:eastAsia="楷体_GB2312"/>
        </w:rPr>
      </w:pPr>
      <w:r>
        <w:rPr>
          <w:rFonts w:hint="eastAsia" w:eastAsia="楷体_GB2312"/>
        </w:rPr>
        <w:t>执法检查</w:t>
      </w:r>
    </w:p>
    <w:p>
      <w:pPr>
        <w:jc w:val="center"/>
        <w:rPr>
          <w:rFonts w:eastAsia="楷体"/>
        </w:rPr>
      </w:pPr>
    </w:p>
    <w:p>
      <w:pPr>
        <w:ind w:firstLine="640" w:firstLineChars="200"/>
      </w:pPr>
      <w:r>
        <w:rPr>
          <w:rFonts w:hint="eastAsia" w:hAnsi="黑体" w:eastAsia="黑体"/>
        </w:rPr>
        <w:t>第三十二条</w:t>
      </w:r>
      <w:r>
        <w:rPr>
          <w:rFonts w:eastAsia="黑体"/>
        </w:rPr>
        <w:t xml:space="preserve">  </w:t>
      </w:r>
      <w:r>
        <w:rPr>
          <w:rFonts w:hint="eastAsia"/>
        </w:rPr>
        <w:t>常务委员会每年选择若干关系改革发展稳定大局和群众切身利益、社会普遍关注的重大问题，有计划地对有关法律、法规实施情况组织执法检查。</w:t>
      </w:r>
    </w:p>
    <w:p>
      <w:pPr>
        <w:ind w:firstLine="640" w:firstLineChars="200"/>
      </w:pPr>
      <w:r>
        <w:rPr>
          <w:rFonts w:hint="eastAsia"/>
        </w:rPr>
        <w:t>常务委员会根据执法检查年度计划组织执法检查组。执法检查组的组成人员，从常务委员会组成人员以及有关专门委员会组成人员中确定，并可以邀请本级人民代表大会代表参加。</w:t>
      </w:r>
    </w:p>
    <w:p>
      <w:pPr>
        <w:ind w:firstLine="640" w:firstLineChars="200"/>
      </w:pPr>
      <w:r>
        <w:rPr>
          <w:rFonts w:hint="eastAsia"/>
        </w:rPr>
        <w:t>专门委员会、常务委员会工作机构具体组织实施执法检查工作。根据需要，专门委员会、常务委员会工作机构可以开展执法情况调查研究。</w:t>
      </w:r>
    </w:p>
    <w:p>
      <w:pPr>
        <w:ind w:firstLine="640" w:firstLineChars="200"/>
      </w:pPr>
      <w:r>
        <w:rPr>
          <w:rFonts w:hint="eastAsia" w:hAnsi="黑体" w:eastAsia="黑体"/>
        </w:rPr>
        <w:t>第三十三条</w:t>
      </w:r>
      <w:r>
        <w:rPr>
          <w:rFonts w:eastAsia="黑体"/>
        </w:rPr>
        <w:t xml:space="preserve">  </w:t>
      </w:r>
      <w:r>
        <w:rPr>
          <w:rFonts w:hint="eastAsia"/>
        </w:rPr>
        <w:t>省人民代表大会常务委员会根据需要，可以委托设区的市人民代表大会常务委员会对有关法律、法规在本行政区域内的实施情况进行检查。受委托的人民代表大会常务委员会应当将检查情况书面报送省人民代表大会常务委员会。</w:t>
      </w:r>
    </w:p>
    <w:p>
      <w:pPr>
        <w:ind w:firstLine="640" w:firstLineChars="200"/>
      </w:pPr>
      <w:r>
        <w:rPr>
          <w:rFonts w:hint="eastAsia" w:hAnsi="黑体" w:eastAsia="黑体"/>
        </w:rPr>
        <w:t>第三十四条</w:t>
      </w:r>
      <w:r>
        <w:rPr>
          <w:rFonts w:eastAsia="黑体"/>
        </w:rPr>
        <w:t xml:space="preserve">  </w:t>
      </w:r>
      <w:r>
        <w:rPr>
          <w:rFonts w:hint="eastAsia"/>
        </w:rPr>
        <w:t>常务委员会组成人员对执法检查报告的审议意见连同执法检查报告，一并交由本级人民政府、人民法院和人民检察院研究处理。人民政府、人民法院和人民检察院应当将研究处理情况由其办事机构送交有关专门委员会或者常务委员会有关工作机构征求意见后，向常务委员会提出报告。必要时，由主任会议决定提请常务委员会审议，或者由常务委员会组织跟踪检查；常务委员会也可以委托有关专门委员会或者常务委员会有关工作机构组织跟踪检查。</w:t>
      </w:r>
    </w:p>
    <w:p>
      <w:r>
        <w:rPr>
          <w:rFonts w:hint="eastAsia"/>
        </w:rPr>
        <w:t xml:space="preserve">    常务委员会的执法检查报告及审议意见，人民政府、人民法院和人民检察院对其研究处理情况的报告，向本级人民代表大会代表通报并向社会公布。</w:t>
      </w:r>
    </w:p>
    <w:p>
      <w:pPr>
        <w:ind w:firstLine="640" w:firstLineChars="200"/>
      </w:pPr>
      <w:r>
        <w:rPr>
          <w:rFonts w:hint="eastAsia" w:hAnsi="黑体" w:eastAsia="黑体"/>
        </w:rPr>
        <w:t>第三十五条</w:t>
      </w:r>
      <w:r>
        <w:rPr>
          <w:rFonts w:eastAsia="黑体"/>
        </w:rPr>
        <w:t xml:space="preserve">  </w:t>
      </w:r>
      <w:r>
        <w:rPr>
          <w:rFonts w:hint="eastAsia"/>
        </w:rPr>
        <w:t>常务委员会可以组织常务委员会组成人员、本级和上级人民代表大会代表，在本行政区域内开展视察。</w:t>
      </w:r>
    </w:p>
    <w:p>
      <w:pPr>
        <w:ind w:firstLine="624" w:firstLineChars="200"/>
        <w:rPr>
          <w:spacing w:val="-4"/>
        </w:rPr>
      </w:pPr>
      <w:r>
        <w:rPr>
          <w:rFonts w:hint="eastAsia"/>
          <w:spacing w:val="-4"/>
        </w:rPr>
        <w:t>常务委员会可以对视察报告进行审议，重要的审议意见，交有关机关研究处理。有关机关应当将研究处理情况报告常务委员会。</w:t>
      </w:r>
    </w:p>
    <w:p>
      <w:pPr>
        <w:ind w:firstLine="640" w:firstLineChars="200"/>
      </w:pPr>
      <w:r>
        <w:rPr>
          <w:rFonts w:hint="eastAsia" w:hAnsi="黑体" w:eastAsia="黑体"/>
        </w:rPr>
        <w:t>第三十六条</w:t>
      </w:r>
      <w:r>
        <w:t xml:space="preserve">  </w:t>
      </w:r>
      <w:r>
        <w:rPr>
          <w:rFonts w:hint="eastAsia"/>
        </w:rPr>
        <w:t>执法检查的具体办法，依照有关法律法规的规定执行。</w:t>
      </w:r>
    </w:p>
    <w:p/>
    <w:p>
      <w:pPr>
        <w:jc w:val="center"/>
        <w:rPr>
          <w:rFonts w:hint="eastAsia" w:eastAsia="楷体_GB2312"/>
        </w:rPr>
      </w:pPr>
      <w:r>
        <w:rPr>
          <w:rFonts w:hint="eastAsia" w:eastAsia="楷体_GB2312"/>
        </w:rPr>
        <w:t>第五节  询问和质询</w:t>
      </w:r>
    </w:p>
    <w:p>
      <w:pPr>
        <w:jc w:val="center"/>
        <w:rPr>
          <w:rFonts w:eastAsia="楷体"/>
        </w:rPr>
      </w:pPr>
    </w:p>
    <w:p>
      <w:pPr>
        <w:ind w:firstLine="640" w:firstLineChars="200"/>
      </w:pPr>
      <w:r>
        <w:rPr>
          <w:rFonts w:hint="eastAsia" w:hAnsi="黑体" w:eastAsia="黑体"/>
        </w:rPr>
        <w:t>第三十七条</w:t>
      </w:r>
      <w:r>
        <w:rPr>
          <w:rFonts w:eastAsia="黑体"/>
        </w:rPr>
        <w:t xml:space="preserve">  </w:t>
      </w:r>
      <w:r>
        <w:rPr>
          <w:rFonts w:hint="eastAsia"/>
        </w:rPr>
        <w:t>常务委员会会议审议议案和相关报告时，常务委员会组成人员可以向有关机关提出询问。有关机关的负责人应当回答询问。</w:t>
      </w:r>
    </w:p>
    <w:p>
      <w:pPr>
        <w:ind w:firstLine="640" w:firstLineChars="200"/>
      </w:pPr>
      <w:r>
        <w:rPr>
          <w:rFonts w:hint="eastAsia" w:hAnsi="黑体" w:eastAsia="黑体"/>
        </w:rPr>
        <w:t>第三十八条</w:t>
      </w:r>
      <w:r>
        <w:rPr>
          <w:rFonts w:eastAsia="黑体"/>
        </w:rPr>
        <w:t xml:space="preserve">  </w:t>
      </w:r>
      <w:r>
        <w:rPr>
          <w:rFonts w:hint="eastAsia"/>
        </w:rPr>
        <w:t>在常务委员会会议期间，省和设区的市的人民代表大会常务委员会组成人员五人以上书面联名，县级人民代表大会常务委员会组成人员三人以上书面联名，可以向常务委员会书面提出对本级人民政府及其所属部门、人民法院和人民检察院的质询案。</w:t>
      </w:r>
    </w:p>
    <w:p>
      <w:pPr>
        <w:ind w:firstLine="640" w:firstLineChars="200"/>
      </w:pPr>
      <w:r>
        <w:rPr>
          <w:rFonts w:hint="eastAsia"/>
        </w:rPr>
        <w:t>质询案应当写明质询对象、质询的问题和内容。</w:t>
      </w:r>
    </w:p>
    <w:p>
      <w:pPr>
        <w:ind w:firstLine="640" w:firstLineChars="200"/>
      </w:pPr>
      <w:r>
        <w:rPr>
          <w:rFonts w:hint="eastAsia" w:hAnsi="黑体" w:eastAsia="黑体"/>
        </w:rPr>
        <w:t>第三十九条</w:t>
      </w:r>
      <w:r>
        <w:rPr>
          <w:rFonts w:eastAsia="黑体"/>
        </w:rPr>
        <w:t xml:space="preserve">  </w:t>
      </w:r>
      <w:r>
        <w:rPr>
          <w:rFonts w:hint="eastAsia"/>
        </w:rPr>
        <w:t>质询案应当主要针对下列事项：</w:t>
      </w:r>
    </w:p>
    <w:p>
      <w:pPr>
        <w:ind w:firstLine="640" w:firstLineChars="200"/>
      </w:pPr>
      <w:r>
        <w:rPr>
          <w:rFonts w:hint="eastAsia"/>
        </w:rPr>
        <w:t>（一）认为有违反宪法、法律、法规的问题；</w:t>
      </w:r>
    </w:p>
    <w:p>
      <w:pPr>
        <w:ind w:firstLine="640" w:firstLineChars="200"/>
      </w:pPr>
      <w:r>
        <w:rPr>
          <w:rFonts w:hint="eastAsia"/>
        </w:rPr>
        <w:t>（二）认为有违反上级和本级人民代表大会及其常务委员会的决议、决定的问题；</w:t>
      </w:r>
    </w:p>
    <w:p>
      <w:pPr>
        <w:ind w:firstLine="640" w:firstLineChars="200"/>
      </w:pPr>
      <w:r>
        <w:rPr>
          <w:rFonts w:hint="eastAsia"/>
        </w:rPr>
        <w:t>（三）认为行政、审判、检察工作中有失误；</w:t>
      </w:r>
    </w:p>
    <w:p>
      <w:pPr>
        <w:ind w:firstLine="640" w:firstLineChars="200"/>
      </w:pPr>
      <w:r>
        <w:rPr>
          <w:rFonts w:hint="eastAsia"/>
        </w:rPr>
        <w:t>（四）认为国家机关工作人员有失职、渎职、徇私枉法行为；</w:t>
      </w:r>
    </w:p>
    <w:p>
      <w:pPr>
        <w:ind w:firstLine="640" w:firstLineChars="200"/>
      </w:pPr>
      <w:r>
        <w:rPr>
          <w:rFonts w:hint="eastAsia"/>
        </w:rPr>
        <w:t>（五）人民群众反映强烈的其他问题。</w:t>
      </w:r>
    </w:p>
    <w:p>
      <w:pPr>
        <w:ind w:firstLine="640" w:firstLineChars="200"/>
      </w:pPr>
      <w:r>
        <w:rPr>
          <w:rFonts w:hint="eastAsia" w:hAnsi="黑体" w:eastAsia="黑体"/>
        </w:rPr>
        <w:t>第四十条</w:t>
      </w:r>
      <w:r>
        <w:rPr>
          <w:rFonts w:eastAsia="黑体"/>
        </w:rPr>
        <w:t xml:space="preserve">  </w:t>
      </w:r>
      <w:r>
        <w:rPr>
          <w:rFonts w:hint="eastAsia"/>
        </w:rPr>
        <w:t>质询案经主任会议决定交由受质询机关在常务委员会会议上或者有关的专门委员会会议上口头答复，或者由受质询机关书面答复。在专门委员会会议上答复的，提质询案的常务委员会组成人员有权列席会议，发表意见。主任会议认为必要时，可以将答复质询案的情况报告印发常务委员会会议。</w:t>
      </w:r>
    </w:p>
    <w:p>
      <w:pPr>
        <w:ind w:firstLine="640" w:firstLineChars="200"/>
      </w:pPr>
      <w:r>
        <w:rPr>
          <w:rFonts w:hint="eastAsia"/>
        </w:rPr>
        <w:t>质询案以口头答复的，应当由受质询机关的负责人到会答复；质询案以书面答复的，应当由受质询机关的负责人签署。</w:t>
      </w:r>
    </w:p>
    <w:p>
      <w:pPr>
        <w:ind w:firstLine="640" w:firstLineChars="200"/>
      </w:pPr>
      <w:r>
        <w:rPr>
          <w:rFonts w:hint="eastAsia" w:hAnsi="黑体" w:eastAsia="黑体"/>
        </w:rPr>
        <w:t>第四十一条</w:t>
      </w:r>
      <w:r>
        <w:rPr>
          <w:rFonts w:eastAsia="黑体"/>
        </w:rPr>
        <w:t xml:space="preserve">  </w:t>
      </w:r>
      <w:r>
        <w:rPr>
          <w:rFonts w:hint="eastAsia"/>
        </w:rPr>
        <w:t>提质询案的常务委员会组成人员半数以上对答复不满意的，可以提出要求，经主任会议决定，由受质询机关再作答复。</w:t>
      </w:r>
    </w:p>
    <w:p>
      <w:pPr>
        <w:ind w:firstLine="640" w:firstLineChars="200"/>
      </w:pPr>
      <w:r>
        <w:rPr>
          <w:rFonts w:hint="eastAsia"/>
        </w:rPr>
        <w:t>对再次答复仍不满意的，经主任会议决定，可以将质询案提请常务委员会会议审议，常务委员会可以作出相应的决议、决定。</w:t>
      </w:r>
    </w:p>
    <w:p>
      <w:pPr>
        <w:jc w:val="center"/>
        <w:rPr>
          <w:rFonts w:eastAsia="楷体"/>
        </w:rPr>
      </w:pPr>
    </w:p>
    <w:p>
      <w:pPr>
        <w:jc w:val="center"/>
        <w:rPr>
          <w:rFonts w:hint="eastAsia" w:eastAsia="楷体_GB2312"/>
        </w:rPr>
      </w:pPr>
      <w:r>
        <w:rPr>
          <w:rFonts w:hint="eastAsia" w:eastAsia="楷体_GB2312"/>
        </w:rPr>
        <w:t>第六节  特定问题调查</w:t>
      </w:r>
    </w:p>
    <w:p>
      <w:pPr>
        <w:jc w:val="center"/>
        <w:rPr>
          <w:rFonts w:eastAsia="楷体"/>
        </w:rPr>
      </w:pPr>
    </w:p>
    <w:p>
      <w:pPr>
        <w:ind w:firstLine="640" w:firstLineChars="200"/>
      </w:pPr>
      <w:r>
        <w:rPr>
          <w:rFonts w:hint="eastAsia" w:hAnsi="黑体" w:eastAsia="黑体"/>
        </w:rPr>
        <w:t>第四十二条</w:t>
      </w:r>
      <w:r>
        <w:rPr>
          <w:rFonts w:eastAsia="黑体"/>
        </w:rPr>
        <w:t xml:space="preserve">  </w:t>
      </w:r>
      <w:r>
        <w:rPr>
          <w:rFonts w:hint="eastAsia"/>
        </w:rPr>
        <w:t>常务委员会对属于其职权范围内的事项，需要作出决议、决定，但有关重大事实不清的，可以组织关于特定问题的调查委员会。</w:t>
      </w:r>
    </w:p>
    <w:p>
      <w:pPr>
        <w:ind w:firstLine="640" w:firstLineChars="200"/>
      </w:pPr>
      <w:r>
        <w:rPr>
          <w:rFonts w:hint="eastAsia" w:hAnsi="黑体" w:eastAsia="黑体"/>
        </w:rPr>
        <w:t>第四十三条</w:t>
      </w:r>
      <w:r>
        <w:rPr>
          <w:rFonts w:eastAsia="黑体"/>
        </w:rPr>
        <w:t xml:space="preserve">  </w:t>
      </w:r>
      <w:r>
        <w:rPr>
          <w:rFonts w:hint="eastAsia"/>
        </w:rPr>
        <w:t>主任会议可以向常务委员会提议组织关于特定问题的调查委员会，提请常务委员会审议。</w:t>
      </w:r>
    </w:p>
    <w:p>
      <w:r>
        <w:t xml:space="preserve">    </w:t>
      </w:r>
      <w:r>
        <w:rPr>
          <w:rFonts w:hint="eastAsia"/>
        </w:rPr>
        <w:t>五分之一以上的常务委员会组成人员书面联名，可以向常务委员会提议组织关于特定问题的调查委员会，由主任会议决定提请常务委员会审议，或者先交有关的专门委员会审议、提出报告，再决定提请常务委员会审议。</w:t>
      </w:r>
    </w:p>
    <w:p>
      <w:pPr>
        <w:ind w:firstLine="640" w:firstLineChars="200"/>
      </w:pPr>
      <w:r>
        <w:rPr>
          <w:rFonts w:hint="eastAsia" w:hAnsi="黑体" w:eastAsia="黑体"/>
        </w:rPr>
        <w:t>第四十四条</w:t>
      </w:r>
      <w:r>
        <w:rPr>
          <w:rFonts w:eastAsia="黑体"/>
        </w:rPr>
        <w:t xml:space="preserve">  </w:t>
      </w:r>
      <w:r>
        <w:rPr>
          <w:rFonts w:hint="eastAsia"/>
        </w:rPr>
        <w:t>调查委员会由主任委员、副主任委员和委员组成，由主任会议在常务委员会组成人员和本级人民代表大会代表中提名，提请常务委员会审议通过。</w:t>
      </w:r>
    </w:p>
    <w:p>
      <w:r>
        <w:t xml:space="preserve">    </w:t>
      </w:r>
      <w:r>
        <w:rPr>
          <w:rFonts w:hint="eastAsia"/>
        </w:rPr>
        <w:t>调查委员会根据需要，可以聘请有关专家参与调查工作。</w:t>
      </w:r>
    </w:p>
    <w:p>
      <w:r>
        <w:t xml:space="preserve">    </w:t>
      </w:r>
      <w:r>
        <w:rPr>
          <w:rFonts w:hint="eastAsia"/>
        </w:rPr>
        <w:t>与调查的问题有利害关系的常务委员会组成人员和其他人员不得参加调查委员会。</w:t>
      </w:r>
    </w:p>
    <w:p>
      <w:pPr>
        <w:ind w:firstLine="640" w:firstLineChars="200"/>
      </w:pPr>
      <w:r>
        <w:rPr>
          <w:rFonts w:hint="eastAsia" w:hAnsi="黑体" w:eastAsia="黑体"/>
        </w:rPr>
        <w:t>第四十五条</w:t>
      </w:r>
      <w:r>
        <w:rPr>
          <w:rFonts w:eastAsia="黑体"/>
        </w:rPr>
        <w:t xml:space="preserve">  </w:t>
      </w:r>
      <w:r>
        <w:rPr>
          <w:rFonts w:hint="eastAsia"/>
        </w:rPr>
        <w:t>调查委员会有权听取有关单位负责人的汇报，调阅有关的案卷和材料，询问有关人员，组织必要的技术鉴定。</w:t>
      </w:r>
    </w:p>
    <w:p>
      <w:pPr>
        <w:ind w:firstLine="640" w:firstLineChars="200"/>
      </w:pPr>
      <w:r>
        <w:rPr>
          <w:rFonts w:hint="eastAsia"/>
        </w:rPr>
        <w:t>调查委员会进行调查时，有关的国家机关、社会团体、企业事业组织和公民都有义务向其提供必要的材料。</w:t>
      </w:r>
    </w:p>
    <w:p>
      <w:pPr>
        <w:ind w:firstLine="640" w:firstLineChars="200"/>
      </w:pPr>
      <w:r>
        <w:rPr>
          <w:rFonts w:hint="eastAsia"/>
        </w:rPr>
        <w:t>调查委员会对调查中涉及的国家秘密、个人隐私和商业秘密，应当依法予以保密。</w:t>
      </w:r>
    </w:p>
    <w:p>
      <w:pPr>
        <w:ind w:firstLine="640" w:firstLineChars="200"/>
      </w:pPr>
      <w:r>
        <w:rPr>
          <w:rFonts w:hint="eastAsia"/>
        </w:rPr>
        <w:t>提供材料的公民要求对材料来源保密的，调查委员会应当予以保密。</w:t>
      </w:r>
    </w:p>
    <w:p>
      <w:pPr>
        <w:ind w:firstLine="640" w:firstLineChars="200"/>
      </w:pPr>
      <w:r>
        <w:rPr>
          <w:rFonts w:hint="eastAsia" w:hAnsi="黑体" w:eastAsia="黑体"/>
        </w:rPr>
        <w:t>第四十六条</w:t>
      </w:r>
      <w:r>
        <w:rPr>
          <w:rFonts w:eastAsia="黑体"/>
        </w:rPr>
        <w:t xml:space="preserve">  </w:t>
      </w:r>
      <w:r>
        <w:rPr>
          <w:rFonts w:hint="eastAsia"/>
        </w:rPr>
        <w:t>调查委员会调查工作涉及到的国家机关、社会团体和企业事业组织，应当为调查工作提供方便，保证调查活动的顺利进行。</w:t>
      </w:r>
    </w:p>
    <w:p>
      <w:pPr>
        <w:ind w:firstLine="640" w:firstLineChars="200"/>
      </w:pPr>
      <w:r>
        <w:rPr>
          <w:rFonts w:hint="eastAsia" w:hAnsi="黑体" w:eastAsia="黑体"/>
        </w:rPr>
        <w:t>第四十七条</w:t>
      </w:r>
      <w:r>
        <w:rPr>
          <w:rFonts w:eastAsia="黑体"/>
        </w:rPr>
        <w:t xml:space="preserve">  </w:t>
      </w:r>
      <w:r>
        <w:rPr>
          <w:rFonts w:hint="eastAsia"/>
        </w:rPr>
        <w:t>调查委员会应当向常务委员会提出调查报告。常务委员会根据调查报告，可以作出相应的决议、决定。</w:t>
      </w:r>
    </w:p>
    <w:p>
      <w:pPr>
        <w:jc w:val="center"/>
        <w:rPr>
          <w:rFonts w:eastAsia="楷体_GB2312"/>
        </w:rPr>
      </w:pPr>
    </w:p>
    <w:p>
      <w:pPr>
        <w:jc w:val="center"/>
        <w:rPr>
          <w:rFonts w:eastAsia="楷体_GB2312"/>
        </w:rPr>
      </w:pPr>
      <w:r>
        <w:rPr>
          <w:rFonts w:hint="eastAsia" w:eastAsia="楷体_GB2312"/>
        </w:rPr>
        <w:t>第七节</w:t>
      </w:r>
      <w:r>
        <w:rPr>
          <w:rFonts w:eastAsia="楷体_GB2312"/>
        </w:rPr>
        <w:t xml:space="preserve">  </w:t>
      </w:r>
      <w:r>
        <w:rPr>
          <w:rFonts w:hint="eastAsia" w:eastAsia="楷体_GB2312"/>
        </w:rPr>
        <w:t>撤职案的审议和决定</w:t>
      </w:r>
    </w:p>
    <w:p>
      <w:pPr>
        <w:jc w:val="center"/>
        <w:rPr>
          <w:rFonts w:eastAsia="楷体_GB2312"/>
        </w:rPr>
      </w:pPr>
    </w:p>
    <w:p>
      <w:pPr>
        <w:ind w:firstLine="640" w:firstLineChars="200"/>
      </w:pPr>
      <w:r>
        <w:rPr>
          <w:rFonts w:hint="eastAsia" w:hAnsi="黑体" w:eastAsia="黑体"/>
        </w:rPr>
        <w:t>第四十八条</w:t>
      </w:r>
      <w:r>
        <w:rPr>
          <w:rFonts w:eastAsia="黑体"/>
        </w:rPr>
        <w:t xml:space="preserve">  </w:t>
      </w:r>
      <w:r>
        <w:rPr>
          <w:rFonts w:hint="eastAsia"/>
        </w:rPr>
        <w:t>主任会议可以向常务委员会提出属于常务委员会职权范围内的撤职案，由常务委员会会议审议。</w:t>
      </w:r>
    </w:p>
    <w:p>
      <w:r>
        <w:t xml:space="preserve">    </w:t>
      </w:r>
      <w:r>
        <w:rPr>
          <w:rFonts w:hint="eastAsia"/>
        </w:rPr>
        <w:t>县级以上各级人民政府、人民法院和人民检察院，可以向常务委员会提出属于常务委员会职权范围内的撤职案，由主任会议决定提请常务委员会会议审议。</w:t>
      </w:r>
    </w:p>
    <w:p>
      <w:pPr>
        <w:ind w:firstLine="640" w:firstLineChars="200"/>
      </w:pPr>
      <w:r>
        <w:rPr>
          <w:rFonts w:hint="eastAsia"/>
        </w:rPr>
        <w:t>常务委员会组成人员五分之一以上书面联名，可以向常务委员会提出属于常务委员会职权范围内的撤职案，由主任会议决定是否提请常务委员会会议审议；或者由主任会议提议，经全体会议决定，组织调查委员会，由以后的常务委员会会议根据调查委员会的报告审议决定。</w:t>
      </w:r>
    </w:p>
    <w:p>
      <w:pPr>
        <w:ind w:firstLine="640" w:firstLineChars="200"/>
      </w:pPr>
      <w:r>
        <w:rPr>
          <w:rFonts w:hint="eastAsia" w:hAnsi="黑体" w:eastAsia="黑体"/>
        </w:rPr>
        <w:t>第四十九条</w:t>
      </w:r>
      <w:r>
        <w:rPr>
          <w:rFonts w:eastAsia="黑体"/>
        </w:rPr>
        <w:t xml:space="preserve">  </w:t>
      </w:r>
      <w:r>
        <w:rPr>
          <w:rFonts w:hint="eastAsia"/>
        </w:rPr>
        <w:t>撤职案应当采用书面形式，写明撤职的对象和理由，并提供有关材料。</w:t>
      </w:r>
    </w:p>
    <w:p>
      <w:pPr>
        <w:ind w:firstLine="640" w:firstLineChars="200"/>
      </w:pPr>
      <w:r>
        <w:rPr>
          <w:rFonts w:hint="eastAsia" w:hAnsi="黑体" w:eastAsia="黑体"/>
        </w:rPr>
        <w:t>第五十条</w:t>
      </w:r>
      <w:r>
        <w:rPr>
          <w:rFonts w:eastAsia="黑体"/>
        </w:rPr>
        <w:t xml:space="preserve">  </w:t>
      </w:r>
      <w:r>
        <w:rPr>
          <w:rFonts w:hint="eastAsia"/>
        </w:rPr>
        <w:t>对本条例第四十八条第三款规定的撤职案所涉及的内容进行调查期间，被提出撤职的人员是否暂停执行职务，由常务委员会决定。</w:t>
      </w:r>
    </w:p>
    <w:p>
      <w:pPr>
        <w:ind w:firstLine="640" w:firstLineChars="200"/>
      </w:pPr>
      <w:r>
        <w:rPr>
          <w:rFonts w:hint="eastAsia" w:hAnsi="黑体" w:eastAsia="黑体"/>
        </w:rPr>
        <w:t>第五十一条</w:t>
      </w:r>
      <w:r>
        <w:rPr>
          <w:rFonts w:eastAsia="黑体"/>
        </w:rPr>
        <w:t xml:space="preserve">  </w:t>
      </w:r>
      <w:r>
        <w:rPr>
          <w:rFonts w:hint="eastAsia"/>
        </w:rPr>
        <w:t>对撤职案进行调查的期限不得超过两个月。有关调查的具体事项由主任会议决定。</w:t>
      </w:r>
    </w:p>
    <w:p>
      <w:pPr>
        <w:ind w:firstLine="640" w:firstLineChars="200"/>
      </w:pPr>
      <w:r>
        <w:rPr>
          <w:rFonts w:hint="eastAsia" w:hAnsi="黑体" w:eastAsia="黑体"/>
        </w:rPr>
        <w:t>第五十二条</w:t>
      </w:r>
      <w:r>
        <w:rPr>
          <w:rFonts w:eastAsia="黑体"/>
        </w:rPr>
        <w:t xml:space="preserve">  </w:t>
      </w:r>
      <w:r>
        <w:rPr>
          <w:rFonts w:hint="eastAsia"/>
        </w:rPr>
        <w:t>撤职案提交表决前，被提出撤职的人员有权在常务委员会会议上提出申辩意见，或者书面提出申辩意见，由主任会议决定印发常务委员会会议。</w:t>
      </w:r>
    </w:p>
    <w:p>
      <w:r>
        <w:t xml:space="preserve">    </w:t>
      </w:r>
      <w:r>
        <w:rPr>
          <w:rFonts w:hint="eastAsia"/>
        </w:rPr>
        <w:t>表决撤职案采用无记名投票方式，经常务委员会全体组成人员过半数通过。</w:t>
      </w:r>
    </w:p>
    <w:p/>
    <w:p>
      <w:pPr>
        <w:numPr>
          <w:ilvl w:val="0"/>
          <w:numId w:val="2"/>
        </w:numPr>
        <w:jc w:val="center"/>
        <w:rPr>
          <w:rFonts w:hint="eastAsia" w:eastAsia="楷体_GB2312"/>
        </w:rPr>
      </w:pPr>
      <w:r>
        <w:rPr>
          <w:rFonts w:hint="eastAsia" w:eastAsia="楷体_GB2312"/>
        </w:rPr>
        <w:t>其他规定</w:t>
      </w:r>
    </w:p>
    <w:p>
      <w:pPr>
        <w:jc w:val="center"/>
        <w:rPr>
          <w:rFonts w:eastAsia="楷体"/>
        </w:rPr>
      </w:pPr>
    </w:p>
    <w:p>
      <w:pPr>
        <w:ind w:firstLine="640" w:firstLineChars="200"/>
      </w:pPr>
      <w:r>
        <w:rPr>
          <w:rFonts w:hint="eastAsia" w:hAnsi="黑体" w:eastAsia="黑体"/>
        </w:rPr>
        <w:t>第五十三条</w:t>
      </w:r>
      <w:r>
        <w:rPr>
          <w:rFonts w:eastAsia="黑体"/>
        </w:rPr>
        <w:t xml:space="preserve">  </w:t>
      </w:r>
      <w:r>
        <w:rPr>
          <w:rFonts w:hint="eastAsia"/>
        </w:rPr>
        <w:t>审查和批准决算，听取和审议国民经济和社会发展计划、预算的执行情况报告，听取和审议审计工作报告的具体办法，依照有关法律法规的规定执行。</w:t>
      </w:r>
    </w:p>
    <w:p>
      <w:pPr>
        <w:ind w:firstLine="640" w:firstLineChars="200"/>
      </w:pPr>
      <w:r>
        <w:rPr>
          <w:rFonts w:hint="eastAsia" w:hAnsi="黑体" w:eastAsia="黑体"/>
        </w:rPr>
        <w:t>第五十四条</w:t>
      </w:r>
      <w:r>
        <w:rPr>
          <w:rFonts w:eastAsia="黑体"/>
        </w:rPr>
        <w:t xml:space="preserve">  </w:t>
      </w:r>
      <w:r>
        <w:rPr>
          <w:rFonts w:hint="eastAsia"/>
        </w:rPr>
        <w:t>对司法机关工作的监督办法，依照省人民代表大会常务委员会有关法规执行。</w:t>
      </w:r>
    </w:p>
    <w:p>
      <w:pPr>
        <w:ind w:firstLine="640" w:firstLineChars="200"/>
      </w:pPr>
    </w:p>
    <w:p>
      <w:pPr>
        <w:jc w:val="center"/>
        <w:rPr>
          <w:rFonts w:hint="eastAsia" w:eastAsia="黑体"/>
        </w:rPr>
      </w:pPr>
      <w:r>
        <w:rPr>
          <w:rFonts w:hint="eastAsia" w:hAnsi="黑体" w:eastAsia="黑体"/>
        </w:rPr>
        <w:t>第四章</w:t>
      </w:r>
      <w:r>
        <w:rPr>
          <w:rFonts w:eastAsia="黑体"/>
        </w:rPr>
        <w:t xml:space="preserve">  </w:t>
      </w:r>
      <w:r>
        <w:rPr>
          <w:rFonts w:hint="eastAsia" w:hAnsi="黑体" w:eastAsia="黑体"/>
        </w:rPr>
        <w:t>法律责任</w:t>
      </w:r>
    </w:p>
    <w:p>
      <w:pPr>
        <w:jc w:val="center"/>
        <w:rPr>
          <w:rFonts w:eastAsia="黑体"/>
        </w:rPr>
      </w:pPr>
    </w:p>
    <w:p>
      <w:pPr>
        <w:ind w:firstLine="640" w:firstLineChars="200"/>
      </w:pPr>
      <w:r>
        <w:rPr>
          <w:rFonts w:hint="eastAsia" w:hAnsi="黑体" w:eastAsia="黑体"/>
        </w:rPr>
        <w:t>第五十五条</w:t>
      </w:r>
      <w:r>
        <w:rPr>
          <w:rFonts w:eastAsia="黑体"/>
        </w:rPr>
        <w:t xml:space="preserve">  </w:t>
      </w:r>
      <w:r>
        <w:rPr>
          <w:rFonts w:hint="eastAsia"/>
        </w:rPr>
        <w:t>受监督的国家机关或者工作人员有下列行为之一的，常务委员会应当追究其责任：</w:t>
      </w:r>
    </w:p>
    <w:p>
      <w:pPr>
        <w:ind w:firstLine="640" w:firstLineChars="200"/>
      </w:pPr>
      <w:r>
        <w:rPr>
          <w:rFonts w:hint="eastAsia"/>
        </w:rPr>
        <w:t>（一）拒不执行上级和本级人民代表大会及其常务委员会决议、决定的；</w:t>
      </w:r>
    </w:p>
    <w:p>
      <w:pPr>
        <w:ind w:firstLine="640" w:firstLineChars="200"/>
      </w:pPr>
      <w:r>
        <w:rPr>
          <w:rFonts w:hint="eastAsia"/>
        </w:rPr>
        <w:t>（二）拒不研究处理常务委员会审议意见或者未在规定期限内报告决议执行情况的；</w:t>
      </w:r>
    </w:p>
    <w:p>
      <w:pPr>
        <w:ind w:firstLine="624" w:firstLineChars="200"/>
        <w:rPr>
          <w:spacing w:val="-4"/>
        </w:rPr>
      </w:pPr>
      <w:r>
        <w:rPr>
          <w:rFonts w:hint="eastAsia"/>
          <w:spacing w:val="-4"/>
        </w:rPr>
        <w:t>（三）拒绝或者干扰检查、视察、工作评议和特定问题调查的；</w:t>
      </w:r>
    </w:p>
    <w:p>
      <w:pPr>
        <w:ind w:firstLine="640" w:firstLineChars="200"/>
      </w:pPr>
      <w:r>
        <w:rPr>
          <w:rFonts w:hint="eastAsia"/>
        </w:rPr>
        <w:t>（四）拒绝或者拖延提出专项工作报告或者作虚假报告的；</w:t>
      </w:r>
    </w:p>
    <w:p>
      <w:pPr>
        <w:ind w:firstLine="640" w:firstLineChars="200"/>
      </w:pPr>
      <w:r>
        <w:rPr>
          <w:rFonts w:hint="eastAsia"/>
        </w:rPr>
        <w:t>（五）拒不接受质询和询问，或者接受质询和询问时态度恶劣或者作虚假答复的；</w:t>
      </w:r>
    </w:p>
    <w:p>
      <w:pPr>
        <w:ind w:firstLine="640" w:firstLineChars="200"/>
      </w:pPr>
      <w:r>
        <w:rPr>
          <w:rFonts w:hint="eastAsia"/>
        </w:rPr>
        <w:t>（六）拒不向常务委员会报送应当备案的规范性文件的；</w:t>
      </w:r>
    </w:p>
    <w:p>
      <w:pPr>
        <w:ind w:firstLine="640" w:firstLineChars="200"/>
      </w:pPr>
      <w:r>
        <w:rPr>
          <w:rFonts w:hint="eastAsia"/>
        </w:rPr>
        <w:t>（七）其他妨碍常务委员会行使监督权的。</w:t>
      </w:r>
    </w:p>
    <w:p>
      <w:pPr>
        <w:ind w:firstLine="640" w:firstLineChars="200"/>
      </w:pPr>
      <w:r>
        <w:rPr>
          <w:rFonts w:hint="eastAsia" w:hAnsi="黑体" w:eastAsia="黑体"/>
        </w:rPr>
        <w:t>第五十六条</w:t>
      </w:r>
      <w:r>
        <w:rPr>
          <w:rFonts w:eastAsia="黑体"/>
        </w:rPr>
        <w:t xml:space="preserve">  </w:t>
      </w:r>
      <w:r>
        <w:rPr>
          <w:rFonts w:hint="eastAsia"/>
        </w:rPr>
        <w:t>有前条所列行为之一的，常务委员会应当根据不同情况作下列处理：</w:t>
      </w:r>
    </w:p>
    <w:p>
      <w:pPr>
        <w:ind w:firstLine="640" w:firstLineChars="200"/>
      </w:pPr>
      <w:r>
        <w:rPr>
          <w:rFonts w:hint="eastAsia"/>
        </w:rPr>
        <w:t>（一）对有关机关或者工作人员进行通报批评；</w:t>
      </w:r>
    </w:p>
    <w:p>
      <w:pPr>
        <w:ind w:firstLine="616" w:firstLineChars="200"/>
        <w:rPr>
          <w:spacing w:val="-6"/>
        </w:rPr>
      </w:pPr>
      <w:r>
        <w:rPr>
          <w:rFonts w:hint="eastAsia"/>
          <w:spacing w:val="-6"/>
        </w:rPr>
        <w:t>（二）责成有关机关或者工作人员向常务委员会作出书面检查；</w:t>
      </w:r>
    </w:p>
    <w:p>
      <w:pPr>
        <w:ind w:firstLine="640" w:firstLineChars="200"/>
      </w:pPr>
      <w:r>
        <w:rPr>
          <w:rFonts w:hint="eastAsia"/>
        </w:rPr>
        <w:t>（三）责成有关机关、单位对责任人员给予行政处分；</w:t>
      </w:r>
    </w:p>
    <w:p>
      <w:pPr>
        <w:ind w:firstLine="640" w:firstLineChars="200"/>
      </w:pPr>
      <w:r>
        <w:rPr>
          <w:rFonts w:hint="eastAsia"/>
        </w:rPr>
        <w:t>（四）对常务委员会任命的国家机关工作人员依法决定免职、撤职；</w:t>
      </w:r>
    </w:p>
    <w:p>
      <w:pPr>
        <w:ind w:firstLine="640" w:firstLineChars="200"/>
      </w:pPr>
      <w:r>
        <w:rPr>
          <w:rFonts w:hint="eastAsia"/>
        </w:rPr>
        <w:t>（五）对人民代表大会选举的国家机关工作人员向本级人民代表大会提出罢免案。</w:t>
      </w:r>
    </w:p>
    <w:p>
      <w:pPr>
        <w:ind w:firstLine="640" w:firstLineChars="200"/>
      </w:pPr>
      <w:r>
        <w:rPr>
          <w:rFonts w:hint="eastAsia"/>
        </w:rPr>
        <w:t>有关机关、单位对责任人员的处理，应于交办之日起三十日内向常务委员会报告处理情况。</w:t>
      </w:r>
    </w:p>
    <w:p>
      <w:pPr>
        <w:ind w:firstLine="640" w:firstLineChars="200"/>
      </w:pPr>
      <w:r>
        <w:rPr>
          <w:rFonts w:hint="eastAsia" w:hAnsi="黑体" w:eastAsia="黑体"/>
        </w:rPr>
        <w:t>第五十七条</w:t>
      </w:r>
      <w:r>
        <w:rPr>
          <w:rFonts w:eastAsia="黑体"/>
        </w:rPr>
        <w:t xml:space="preserve">  </w:t>
      </w:r>
      <w:r>
        <w:rPr>
          <w:rFonts w:hint="eastAsia"/>
        </w:rPr>
        <w:t>受监督的国家机关或者工作人员认为常务委员会对其作出的有关监督的决议、决定或者监督意见书不适当的，可以向本级或者上一级人民代表大会常务委员会提出书面意见。经审查确属不当的，应予变更或者撤销。</w:t>
      </w:r>
    </w:p>
    <w:p>
      <w:pPr>
        <w:ind w:firstLine="640" w:firstLineChars="200"/>
      </w:pPr>
      <w:r>
        <w:rPr>
          <w:rFonts w:hint="eastAsia" w:hAnsi="黑体" w:eastAsia="黑体"/>
        </w:rPr>
        <w:t>第五十八条</w:t>
      </w:r>
      <w:r>
        <w:rPr>
          <w:rFonts w:eastAsia="黑体"/>
        </w:rPr>
        <w:t xml:space="preserve">  </w:t>
      </w:r>
      <w:r>
        <w:rPr>
          <w:rFonts w:hint="eastAsia"/>
        </w:rPr>
        <w:t>受监督的国家机关或者工作人员认为常务委员会组成人员或者工作人员履行职责不适当的，可以建议常务委员会调查处理；常务委员会应当在两个月内将调查处理情况向提出建议的国家机关或者工作人员反馈。</w:t>
      </w:r>
    </w:p>
    <w:p>
      <w:pPr>
        <w:ind w:firstLine="640" w:firstLineChars="200"/>
      </w:pPr>
      <w:r>
        <w:rPr>
          <w:rFonts w:hint="eastAsia" w:hAnsi="黑体" w:eastAsia="黑体"/>
        </w:rPr>
        <w:t>第五十九条</w:t>
      </w:r>
      <w:r>
        <w:rPr>
          <w:rFonts w:eastAsia="黑体"/>
        </w:rPr>
        <w:t xml:space="preserve">  </w:t>
      </w:r>
      <w:r>
        <w:rPr>
          <w:rFonts w:hint="eastAsia"/>
        </w:rPr>
        <w:t>常务委员会对应当进行法律监督的事项没有监督的，上一级人民代表大会常务委员会应当责成其履行监督职责，常务委员会应当将履行监督职责情况向上一级人民代表大会常务委员会报告。</w:t>
      </w:r>
    </w:p>
    <w:p>
      <w:pPr>
        <w:ind w:firstLine="640" w:firstLineChars="200"/>
      </w:pPr>
    </w:p>
    <w:p>
      <w:pPr>
        <w:numPr>
          <w:ilvl w:val="0"/>
          <w:numId w:val="3"/>
        </w:numPr>
        <w:jc w:val="center"/>
        <w:rPr>
          <w:rFonts w:eastAsia="黑体"/>
        </w:rPr>
      </w:pPr>
      <w:r>
        <w:rPr>
          <w:rFonts w:hint="eastAsia" w:hAnsi="黑体" w:eastAsia="黑体"/>
        </w:rPr>
        <w:t>附</w:t>
      </w:r>
      <w:r>
        <w:rPr>
          <w:rFonts w:hint="eastAsia" w:eastAsia="黑体"/>
        </w:rPr>
        <w:t xml:space="preserve">    </w:t>
      </w:r>
      <w:r>
        <w:rPr>
          <w:rFonts w:hint="eastAsia" w:hAnsi="黑体" w:eastAsia="黑体"/>
        </w:rPr>
        <w:t>则</w:t>
      </w:r>
    </w:p>
    <w:p>
      <w:pPr>
        <w:jc w:val="center"/>
        <w:rPr>
          <w:rFonts w:eastAsia="黑体"/>
        </w:rPr>
      </w:pPr>
    </w:p>
    <w:p>
      <w:pPr>
        <w:ind w:firstLine="640" w:firstLineChars="200"/>
      </w:pPr>
      <w:r>
        <w:rPr>
          <w:rFonts w:hint="eastAsia" w:hAnsi="黑体" w:eastAsia="黑体"/>
        </w:rPr>
        <w:t>第六十条</w:t>
      </w:r>
      <w:r>
        <w:rPr>
          <w:rFonts w:eastAsia="黑体"/>
        </w:rPr>
        <w:t xml:space="preserve">  </w:t>
      </w:r>
      <w:r>
        <w:rPr>
          <w:rFonts w:hint="eastAsia"/>
        </w:rPr>
        <w:t>本条例由省人民代表大会常务委员会负责解释。</w:t>
      </w:r>
    </w:p>
    <w:p>
      <w:pPr>
        <w:ind w:firstLine="640" w:firstLineChars="200"/>
      </w:pPr>
      <w:r>
        <w:rPr>
          <w:rFonts w:hint="eastAsia" w:hAnsi="黑体" w:eastAsia="黑体"/>
        </w:rPr>
        <w:t>第六十一条</w:t>
      </w:r>
      <w:r>
        <w:rPr>
          <w:rFonts w:eastAsia="黑体"/>
        </w:rPr>
        <w:t xml:space="preserve">  </w:t>
      </w:r>
      <w:r>
        <w:rPr>
          <w:rFonts w:hint="eastAsia"/>
        </w:rPr>
        <w:t>本条例自</w:t>
      </w:r>
      <w:r>
        <w:t>2007</w:t>
      </w:r>
      <w:r>
        <w:rPr>
          <w:rFonts w:hint="eastAsia"/>
        </w:rPr>
        <w:t>年</w:t>
      </w:r>
      <w:r>
        <w:t>3</w:t>
      </w:r>
      <w:r>
        <w:rPr>
          <w:rFonts w:hint="eastAsia"/>
        </w:rPr>
        <w:t>月</w:t>
      </w:r>
      <w:r>
        <w:t>1</w:t>
      </w:r>
      <w:r>
        <w:rPr>
          <w:rFonts w:hint="eastAsia"/>
        </w:rPr>
        <w:t>日起施行。</w:t>
      </w:r>
    </w:p>
    <w:p>
      <w:pPr>
        <w:ind w:firstLine="640" w:firstLineChars="200"/>
        <w:rPr>
          <w:rFonts w:hint="eastAsia"/>
          <w:bCs/>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D19A2"/>
    <w:multiLevelType w:val="multilevel"/>
    <w:tmpl w:val="104D19A2"/>
    <w:lvl w:ilvl="0" w:tentative="0">
      <w:start w:val="8"/>
      <w:numFmt w:val="japaneseCounting"/>
      <w:lvlText w:val="第%1节"/>
      <w:lvlJc w:val="left"/>
      <w:pPr>
        <w:tabs>
          <w:tab w:val="left" w:pos="1290"/>
        </w:tabs>
        <w:ind w:left="1290" w:hanging="1290"/>
      </w:pPr>
      <w:rPr>
        <w:rFonts w:hint="default" w:cs="Times New Roman"/>
      </w:rPr>
    </w:lvl>
    <w:lvl w:ilvl="1" w:tentative="0">
      <w:start w:val="1"/>
      <w:numFmt w:val="lowerLetter"/>
      <w:lvlText w:val="%2)"/>
      <w:lvlJc w:val="left"/>
      <w:pPr>
        <w:tabs>
          <w:tab w:val="left" w:pos="840"/>
        </w:tabs>
        <w:ind w:left="840" w:hanging="420"/>
      </w:pPr>
      <w:rPr>
        <w:rFonts w:cs="Times New Roman"/>
      </w:rPr>
    </w:lvl>
    <w:lvl w:ilvl="2" w:tentative="0">
      <w:start w:val="1"/>
      <w:numFmt w:val="lowerRoman"/>
      <w:lvlText w:val="%3."/>
      <w:lvlJc w:val="right"/>
      <w:pPr>
        <w:tabs>
          <w:tab w:val="left" w:pos="1260"/>
        </w:tabs>
        <w:ind w:left="1260" w:hanging="420"/>
      </w:pPr>
      <w:rPr>
        <w:rFonts w:cs="Times New Roman"/>
      </w:rPr>
    </w:lvl>
    <w:lvl w:ilvl="3" w:tentative="0">
      <w:start w:val="1"/>
      <w:numFmt w:val="decimal"/>
      <w:lvlText w:val="%4."/>
      <w:lvlJc w:val="left"/>
      <w:pPr>
        <w:tabs>
          <w:tab w:val="left" w:pos="1680"/>
        </w:tabs>
        <w:ind w:left="1680" w:hanging="420"/>
      </w:pPr>
      <w:rPr>
        <w:rFonts w:cs="Times New Roman"/>
      </w:rPr>
    </w:lvl>
    <w:lvl w:ilvl="4" w:tentative="0">
      <w:start w:val="1"/>
      <w:numFmt w:val="lowerLetter"/>
      <w:lvlText w:val="%5)"/>
      <w:lvlJc w:val="left"/>
      <w:pPr>
        <w:tabs>
          <w:tab w:val="left" w:pos="2100"/>
        </w:tabs>
        <w:ind w:left="2100" w:hanging="420"/>
      </w:pPr>
      <w:rPr>
        <w:rFonts w:cs="Times New Roman"/>
      </w:rPr>
    </w:lvl>
    <w:lvl w:ilvl="5" w:tentative="0">
      <w:start w:val="1"/>
      <w:numFmt w:val="lowerRoman"/>
      <w:lvlText w:val="%6."/>
      <w:lvlJc w:val="right"/>
      <w:pPr>
        <w:tabs>
          <w:tab w:val="left" w:pos="2520"/>
        </w:tabs>
        <w:ind w:left="2520" w:hanging="420"/>
      </w:pPr>
      <w:rPr>
        <w:rFonts w:cs="Times New Roman"/>
      </w:rPr>
    </w:lvl>
    <w:lvl w:ilvl="6" w:tentative="0">
      <w:start w:val="1"/>
      <w:numFmt w:val="decimal"/>
      <w:lvlText w:val="%7."/>
      <w:lvlJc w:val="left"/>
      <w:pPr>
        <w:tabs>
          <w:tab w:val="left" w:pos="2940"/>
        </w:tabs>
        <w:ind w:left="2940" w:hanging="420"/>
      </w:pPr>
      <w:rPr>
        <w:rFonts w:cs="Times New Roman"/>
      </w:rPr>
    </w:lvl>
    <w:lvl w:ilvl="7" w:tentative="0">
      <w:start w:val="1"/>
      <w:numFmt w:val="lowerLetter"/>
      <w:lvlText w:val="%8)"/>
      <w:lvlJc w:val="left"/>
      <w:pPr>
        <w:tabs>
          <w:tab w:val="left" w:pos="3360"/>
        </w:tabs>
        <w:ind w:left="3360" w:hanging="420"/>
      </w:pPr>
      <w:rPr>
        <w:rFonts w:cs="Times New Roman"/>
      </w:rPr>
    </w:lvl>
    <w:lvl w:ilvl="8" w:tentative="0">
      <w:start w:val="1"/>
      <w:numFmt w:val="lowerRoman"/>
      <w:lvlText w:val="%9."/>
      <w:lvlJc w:val="right"/>
      <w:pPr>
        <w:tabs>
          <w:tab w:val="left" w:pos="3780"/>
        </w:tabs>
        <w:ind w:left="3780" w:hanging="420"/>
      </w:pPr>
      <w:rPr>
        <w:rFonts w:cs="Times New Roman"/>
      </w:rPr>
    </w:lvl>
  </w:abstractNum>
  <w:abstractNum w:abstractNumId="1">
    <w:nsid w:val="49AA421F"/>
    <w:multiLevelType w:val="multilevel"/>
    <w:tmpl w:val="49AA421F"/>
    <w:lvl w:ilvl="0" w:tentative="0">
      <w:start w:val="4"/>
      <w:numFmt w:val="japaneseCounting"/>
      <w:lvlText w:val="第%1节"/>
      <w:lvlJc w:val="left"/>
      <w:pPr>
        <w:tabs>
          <w:tab w:val="left" w:pos="1290"/>
        </w:tabs>
        <w:ind w:left="1290" w:hanging="1290"/>
      </w:pPr>
      <w:rPr>
        <w:rFonts w:hint="default" w:cs="Times New Roman"/>
      </w:rPr>
    </w:lvl>
    <w:lvl w:ilvl="1" w:tentative="0">
      <w:start w:val="1"/>
      <w:numFmt w:val="lowerLetter"/>
      <w:lvlText w:val="%2)"/>
      <w:lvlJc w:val="left"/>
      <w:pPr>
        <w:tabs>
          <w:tab w:val="left" w:pos="840"/>
        </w:tabs>
        <w:ind w:left="840" w:hanging="420"/>
      </w:pPr>
      <w:rPr>
        <w:rFonts w:cs="Times New Roman"/>
      </w:rPr>
    </w:lvl>
    <w:lvl w:ilvl="2" w:tentative="0">
      <w:start w:val="1"/>
      <w:numFmt w:val="lowerRoman"/>
      <w:lvlText w:val="%3."/>
      <w:lvlJc w:val="right"/>
      <w:pPr>
        <w:tabs>
          <w:tab w:val="left" w:pos="1260"/>
        </w:tabs>
        <w:ind w:left="1260" w:hanging="420"/>
      </w:pPr>
      <w:rPr>
        <w:rFonts w:cs="Times New Roman"/>
      </w:rPr>
    </w:lvl>
    <w:lvl w:ilvl="3" w:tentative="0">
      <w:start w:val="1"/>
      <w:numFmt w:val="decimal"/>
      <w:lvlText w:val="%4."/>
      <w:lvlJc w:val="left"/>
      <w:pPr>
        <w:tabs>
          <w:tab w:val="left" w:pos="1680"/>
        </w:tabs>
        <w:ind w:left="1680" w:hanging="420"/>
      </w:pPr>
      <w:rPr>
        <w:rFonts w:cs="Times New Roman"/>
      </w:rPr>
    </w:lvl>
    <w:lvl w:ilvl="4" w:tentative="0">
      <w:start w:val="1"/>
      <w:numFmt w:val="lowerLetter"/>
      <w:lvlText w:val="%5)"/>
      <w:lvlJc w:val="left"/>
      <w:pPr>
        <w:tabs>
          <w:tab w:val="left" w:pos="2100"/>
        </w:tabs>
        <w:ind w:left="2100" w:hanging="420"/>
      </w:pPr>
      <w:rPr>
        <w:rFonts w:cs="Times New Roman"/>
      </w:rPr>
    </w:lvl>
    <w:lvl w:ilvl="5" w:tentative="0">
      <w:start w:val="1"/>
      <w:numFmt w:val="lowerRoman"/>
      <w:lvlText w:val="%6."/>
      <w:lvlJc w:val="right"/>
      <w:pPr>
        <w:tabs>
          <w:tab w:val="left" w:pos="2520"/>
        </w:tabs>
        <w:ind w:left="2520" w:hanging="420"/>
      </w:pPr>
      <w:rPr>
        <w:rFonts w:cs="Times New Roman"/>
      </w:rPr>
    </w:lvl>
    <w:lvl w:ilvl="6" w:tentative="0">
      <w:start w:val="1"/>
      <w:numFmt w:val="decimal"/>
      <w:lvlText w:val="%7."/>
      <w:lvlJc w:val="left"/>
      <w:pPr>
        <w:tabs>
          <w:tab w:val="left" w:pos="2940"/>
        </w:tabs>
        <w:ind w:left="2940" w:hanging="420"/>
      </w:pPr>
      <w:rPr>
        <w:rFonts w:cs="Times New Roman"/>
      </w:rPr>
    </w:lvl>
    <w:lvl w:ilvl="7" w:tentative="0">
      <w:start w:val="1"/>
      <w:numFmt w:val="lowerLetter"/>
      <w:lvlText w:val="%8)"/>
      <w:lvlJc w:val="left"/>
      <w:pPr>
        <w:tabs>
          <w:tab w:val="left" w:pos="3360"/>
        </w:tabs>
        <w:ind w:left="3360" w:hanging="420"/>
      </w:pPr>
      <w:rPr>
        <w:rFonts w:cs="Times New Roman"/>
      </w:rPr>
    </w:lvl>
    <w:lvl w:ilvl="8" w:tentative="0">
      <w:start w:val="1"/>
      <w:numFmt w:val="lowerRoman"/>
      <w:lvlText w:val="%9."/>
      <w:lvlJc w:val="right"/>
      <w:pPr>
        <w:tabs>
          <w:tab w:val="left" w:pos="3780"/>
        </w:tabs>
        <w:ind w:left="3780" w:hanging="420"/>
      </w:pPr>
      <w:rPr>
        <w:rFonts w:cs="Times New Roman"/>
      </w:rPr>
    </w:lvl>
  </w:abstractNum>
  <w:abstractNum w:abstractNumId="2">
    <w:nsid w:val="77C51376"/>
    <w:multiLevelType w:val="multilevel"/>
    <w:tmpl w:val="77C51376"/>
    <w:lvl w:ilvl="0" w:tentative="0">
      <w:start w:val="5"/>
      <w:numFmt w:val="japaneseCounting"/>
      <w:lvlText w:val="第%1章"/>
      <w:lvlJc w:val="left"/>
      <w:pPr>
        <w:tabs>
          <w:tab w:val="left" w:pos="1290"/>
        </w:tabs>
        <w:ind w:left="1290" w:hanging="1290"/>
      </w:pPr>
      <w:rPr>
        <w:rFonts w:hint="default" w:cs="Times New Roman"/>
      </w:rPr>
    </w:lvl>
    <w:lvl w:ilvl="1" w:tentative="0">
      <w:start w:val="1"/>
      <w:numFmt w:val="lowerLetter"/>
      <w:lvlText w:val="%2)"/>
      <w:lvlJc w:val="left"/>
      <w:pPr>
        <w:tabs>
          <w:tab w:val="left" w:pos="840"/>
        </w:tabs>
        <w:ind w:left="840" w:hanging="420"/>
      </w:pPr>
      <w:rPr>
        <w:rFonts w:cs="Times New Roman"/>
      </w:rPr>
    </w:lvl>
    <w:lvl w:ilvl="2" w:tentative="0">
      <w:start w:val="1"/>
      <w:numFmt w:val="lowerRoman"/>
      <w:lvlText w:val="%3."/>
      <w:lvlJc w:val="right"/>
      <w:pPr>
        <w:tabs>
          <w:tab w:val="left" w:pos="1260"/>
        </w:tabs>
        <w:ind w:left="1260" w:hanging="420"/>
      </w:pPr>
      <w:rPr>
        <w:rFonts w:cs="Times New Roman"/>
      </w:rPr>
    </w:lvl>
    <w:lvl w:ilvl="3" w:tentative="0">
      <w:start w:val="1"/>
      <w:numFmt w:val="decimal"/>
      <w:lvlText w:val="%4."/>
      <w:lvlJc w:val="left"/>
      <w:pPr>
        <w:tabs>
          <w:tab w:val="left" w:pos="1680"/>
        </w:tabs>
        <w:ind w:left="1680" w:hanging="420"/>
      </w:pPr>
      <w:rPr>
        <w:rFonts w:cs="Times New Roman"/>
      </w:rPr>
    </w:lvl>
    <w:lvl w:ilvl="4" w:tentative="0">
      <w:start w:val="1"/>
      <w:numFmt w:val="lowerLetter"/>
      <w:lvlText w:val="%5)"/>
      <w:lvlJc w:val="left"/>
      <w:pPr>
        <w:tabs>
          <w:tab w:val="left" w:pos="2100"/>
        </w:tabs>
        <w:ind w:left="2100" w:hanging="420"/>
      </w:pPr>
      <w:rPr>
        <w:rFonts w:cs="Times New Roman"/>
      </w:rPr>
    </w:lvl>
    <w:lvl w:ilvl="5" w:tentative="0">
      <w:start w:val="1"/>
      <w:numFmt w:val="lowerRoman"/>
      <w:lvlText w:val="%6."/>
      <w:lvlJc w:val="right"/>
      <w:pPr>
        <w:tabs>
          <w:tab w:val="left" w:pos="2520"/>
        </w:tabs>
        <w:ind w:left="2520" w:hanging="420"/>
      </w:pPr>
      <w:rPr>
        <w:rFonts w:cs="Times New Roman"/>
      </w:rPr>
    </w:lvl>
    <w:lvl w:ilvl="6" w:tentative="0">
      <w:start w:val="1"/>
      <w:numFmt w:val="decimal"/>
      <w:lvlText w:val="%7."/>
      <w:lvlJc w:val="left"/>
      <w:pPr>
        <w:tabs>
          <w:tab w:val="left" w:pos="2940"/>
        </w:tabs>
        <w:ind w:left="2940" w:hanging="420"/>
      </w:pPr>
      <w:rPr>
        <w:rFonts w:cs="Times New Roman"/>
      </w:rPr>
    </w:lvl>
    <w:lvl w:ilvl="7" w:tentative="0">
      <w:start w:val="1"/>
      <w:numFmt w:val="lowerLetter"/>
      <w:lvlText w:val="%8)"/>
      <w:lvlJc w:val="left"/>
      <w:pPr>
        <w:tabs>
          <w:tab w:val="left" w:pos="3360"/>
        </w:tabs>
        <w:ind w:left="3360" w:hanging="420"/>
      </w:pPr>
      <w:rPr>
        <w:rFonts w:cs="Times New Roman"/>
      </w:rPr>
    </w:lvl>
    <w:lvl w:ilvl="8" w:tentative="0">
      <w:start w:val="1"/>
      <w:numFmt w:val="lowerRoman"/>
      <w:lvlText w:val="%9."/>
      <w:lvlJc w:val="right"/>
      <w:pPr>
        <w:tabs>
          <w:tab w:val="left" w:pos="3780"/>
        </w:tabs>
        <w:ind w:left="3780" w:hanging="420"/>
      </w:pPr>
      <w:rPr>
        <w:rFonts w:cs="Times New Roman"/>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88319E"/>
    <w:rsid w:val="0188319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szCs w:val="32"/>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2018-12-18T01:45:00Z</dcterms:created>
  <dc:creator>川人张</dc:creator>
  <cp:lastModifiedBy>川人张</cp:lastModifiedBy>
  <dcterms:modified xsi:type="dcterms:W3CDTF">2018-12-18T01:46:04Z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