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ageBreakBefore w:val="0"/>
        <w:widowControl w:val="0"/>
        <w:kinsoku/>
        <w:wordWrap/>
        <w:overflowPunct/>
        <w:topLinePunct w:val="0"/>
        <w:autoSpaceDE/>
        <w:autoSpaceDN/>
        <w:bidi w:val="0"/>
        <w:adjustRightInd/>
        <w:snapToGrid/>
        <w:spacing w:line="240" w:lineRule="auto"/>
        <w:ind w:left="0" w:leftChars="0"/>
        <w:textAlignment w:val="auto"/>
        <w:rPr>
          <w:rFonts w:hint="eastAsia" w:ascii="仿宋_GB2312" w:hAnsi="仿宋_GB2312" w:eastAsia="仿宋_GB2312" w:cs="仿宋_GB2312"/>
          <w:sz w:val="32"/>
          <w:szCs w:val="32"/>
        </w:rPr>
      </w:pPr>
      <w:bookmarkStart w:id="0" w:name="_Toc453486104"/>
      <w:bookmarkStart w:id="1" w:name="_Toc452737031"/>
      <w:bookmarkStart w:id="2" w:name="_Toc452736483"/>
    </w:p>
    <w:p>
      <w:pPr>
        <w:pStyle w:val="2"/>
        <w:pageBreakBefore w:val="0"/>
        <w:widowControl w:val="0"/>
        <w:kinsoku/>
        <w:wordWrap/>
        <w:overflowPunct/>
        <w:topLinePunct w:val="0"/>
        <w:autoSpaceDE/>
        <w:autoSpaceDN/>
        <w:bidi w:val="0"/>
        <w:adjustRightInd/>
        <w:snapToGrid/>
        <w:spacing w:line="240" w:lineRule="auto"/>
        <w:ind w:left="0" w:leftChars="0"/>
        <w:textAlignment w:val="auto"/>
        <w:rPr>
          <w:rFonts w:hint="eastAsia" w:ascii="仿宋_GB2312" w:hAnsi="仿宋_GB2312" w:eastAsia="仿宋_GB2312" w:cs="仿宋_GB2312"/>
          <w:sz w:val="32"/>
          <w:szCs w:val="32"/>
        </w:rPr>
      </w:pPr>
    </w:p>
    <w:p>
      <w:pPr>
        <w:pStyle w:val="2"/>
        <w:pageBreakBefore w:val="0"/>
        <w:widowControl w:val="0"/>
        <w:kinsoku/>
        <w:wordWrap/>
        <w:overflowPunct/>
        <w:topLinePunct w:val="0"/>
        <w:autoSpaceDE/>
        <w:autoSpaceDN/>
        <w:bidi w:val="0"/>
        <w:adjustRightInd/>
        <w:snapToGrid/>
        <w:spacing w:line="240" w:lineRule="auto"/>
        <w:ind w:left="0" w:leftChars="0"/>
        <w:textAlignment w:val="auto"/>
        <w:rPr>
          <w:rFonts w:hint="eastAsia" w:asciiTheme="majorEastAsia" w:hAnsiTheme="majorEastAsia" w:eastAsiaTheme="majorEastAsia" w:cstheme="majorEastAsia"/>
          <w:sz w:val="44"/>
          <w:szCs w:val="44"/>
        </w:rPr>
      </w:pPr>
      <w:r>
        <w:rPr>
          <w:rFonts w:hint="eastAsia" w:asciiTheme="majorEastAsia" w:hAnsiTheme="majorEastAsia" w:eastAsiaTheme="majorEastAsia" w:cstheme="majorEastAsia"/>
          <w:sz w:val="44"/>
          <w:szCs w:val="44"/>
        </w:rPr>
        <w:t>安徽省城市公共汽车客运管理条例</w:t>
      </w:r>
      <w:bookmarkEnd w:id="0"/>
      <w:bookmarkEnd w:id="1"/>
      <w:bookmarkEnd w:id="2"/>
    </w:p>
    <w:p>
      <w:pPr>
        <w:pageBreakBefore w:val="0"/>
        <w:widowControl w:val="0"/>
        <w:kinsoku/>
        <w:wordWrap/>
        <w:overflowPunct/>
        <w:topLinePunct w:val="0"/>
        <w:autoSpaceDE/>
        <w:autoSpaceDN/>
        <w:bidi w:val="0"/>
        <w:adjustRightInd/>
        <w:snapToGrid/>
        <w:spacing w:line="240" w:lineRule="auto"/>
        <w:ind w:left="0" w:leftChars="0" w:firstLine="640" w:firstLineChars="200"/>
        <w:textAlignment w:val="auto"/>
        <w:rPr>
          <w:rFonts w:hint="eastAsia" w:ascii="仿宋_GB2312" w:hAnsi="仿宋_GB2312" w:eastAsia="仿宋_GB2312" w:cs="仿宋_GB2312"/>
          <w:sz w:val="32"/>
          <w:szCs w:val="32"/>
        </w:rPr>
      </w:pPr>
    </w:p>
    <w:p>
      <w:pPr>
        <w:pageBreakBefore w:val="0"/>
        <w:widowControl w:val="0"/>
        <w:kinsoku/>
        <w:wordWrap/>
        <w:overflowPunct/>
        <w:topLinePunct w:val="0"/>
        <w:autoSpaceDE/>
        <w:autoSpaceDN/>
        <w:bidi w:val="0"/>
        <w:adjustRightInd/>
        <w:snapToGrid/>
        <w:spacing w:line="240" w:lineRule="auto"/>
        <w:ind w:left="0" w:leftChars="0"/>
        <w:jc w:val="center"/>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（2016年3月31日安徽省第十二届人民代表大会</w:t>
      </w:r>
    </w:p>
    <w:p>
      <w:pPr>
        <w:pageBreakBefore w:val="0"/>
        <w:widowControl w:val="0"/>
        <w:kinsoku/>
        <w:wordWrap/>
        <w:overflowPunct/>
        <w:topLinePunct w:val="0"/>
        <w:autoSpaceDE/>
        <w:autoSpaceDN/>
        <w:bidi w:val="0"/>
        <w:adjustRightInd/>
        <w:snapToGrid/>
        <w:spacing w:line="240" w:lineRule="auto"/>
        <w:ind w:left="0" w:leftChars="0"/>
        <w:jc w:val="center"/>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常务委员会第二十八次会议通过）</w:t>
      </w:r>
    </w:p>
    <w:p>
      <w:pPr>
        <w:pageBreakBefore w:val="0"/>
        <w:widowControl w:val="0"/>
        <w:kinsoku/>
        <w:wordWrap/>
        <w:overflowPunct/>
        <w:topLinePunct w:val="0"/>
        <w:autoSpaceDE/>
        <w:autoSpaceDN/>
        <w:bidi w:val="0"/>
        <w:adjustRightInd/>
        <w:snapToGrid/>
        <w:spacing w:line="240" w:lineRule="auto"/>
        <w:ind w:left="0" w:leftChars="0" w:firstLine="640" w:firstLineChars="200"/>
        <w:textAlignment w:val="auto"/>
        <w:rPr>
          <w:rFonts w:hint="eastAsia" w:ascii="仿宋_GB2312" w:hAnsi="仿宋_GB2312" w:eastAsia="仿宋_GB2312" w:cs="仿宋_GB2312"/>
          <w:sz w:val="32"/>
          <w:szCs w:val="32"/>
        </w:rPr>
      </w:pPr>
    </w:p>
    <w:p>
      <w:pPr>
        <w:pageBreakBefore w:val="0"/>
        <w:widowControl w:val="0"/>
        <w:kinsoku/>
        <w:wordWrap/>
        <w:overflowPunct/>
        <w:topLinePunct w:val="0"/>
        <w:autoSpaceDE/>
        <w:autoSpaceDN/>
        <w:bidi w:val="0"/>
        <w:adjustRightInd/>
        <w:snapToGrid/>
        <w:spacing w:line="240" w:lineRule="auto"/>
        <w:ind w:left="0" w:leftChars="0"/>
        <w:jc w:val="center"/>
        <w:textAlignment w:val="auto"/>
        <w:rPr>
          <w:rFonts w:hint="eastAsia" w:ascii="黑体" w:hAnsi="黑体" w:eastAsia="黑体" w:cs="黑体"/>
          <w:sz w:val="32"/>
          <w:szCs w:val="32"/>
        </w:rPr>
      </w:pPr>
      <w:r>
        <w:rPr>
          <w:rFonts w:hint="eastAsia" w:ascii="黑体" w:hAnsi="黑体" w:eastAsia="黑体" w:cs="黑体"/>
          <w:sz w:val="32"/>
          <w:szCs w:val="32"/>
        </w:rPr>
        <w:t>第一章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总</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则</w:t>
      </w:r>
    </w:p>
    <w:p>
      <w:pPr>
        <w:pageBreakBefore w:val="0"/>
        <w:widowControl w:val="0"/>
        <w:kinsoku/>
        <w:wordWrap/>
        <w:overflowPunct/>
        <w:topLinePunct w:val="0"/>
        <w:autoSpaceDE/>
        <w:autoSpaceDN/>
        <w:bidi w:val="0"/>
        <w:adjustRightInd/>
        <w:snapToGrid/>
        <w:spacing w:line="240" w:lineRule="auto"/>
        <w:ind w:left="0" w:leftChars="0" w:firstLine="640" w:firstLineChars="200"/>
        <w:textAlignment w:val="auto"/>
        <w:rPr>
          <w:rFonts w:hint="eastAsia" w:ascii="仿宋_GB2312" w:hAnsi="仿宋_GB2312" w:eastAsia="仿宋_GB2312" w:cs="仿宋_GB2312"/>
          <w:sz w:val="32"/>
          <w:szCs w:val="32"/>
        </w:rPr>
      </w:pPr>
    </w:p>
    <w:p>
      <w:pPr>
        <w:pageBreakBefore w:val="0"/>
        <w:widowControl w:val="0"/>
        <w:kinsoku/>
        <w:wordWrap/>
        <w:overflowPunct/>
        <w:topLinePunct w:val="0"/>
        <w:autoSpaceDE/>
        <w:autoSpaceDN/>
        <w:bidi w:val="0"/>
        <w:adjustRightInd/>
        <w:snapToGrid/>
        <w:spacing w:line="240" w:lineRule="auto"/>
        <w:ind w:left="0" w:lef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为了促进城市公共交通事业优先发展，规范城市公共汽车客运市场秩序，维护城市公共交通活动当事人合法权益，引导公众绿色出行，根据有关法律、行政法规，结合本省实际，制定本条例。</w:t>
      </w:r>
    </w:p>
    <w:p>
      <w:pPr>
        <w:pageBreakBefore w:val="0"/>
        <w:widowControl w:val="0"/>
        <w:kinsoku/>
        <w:wordWrap/>
        <w:overflowPunct/>
        <w:topLinePunct w:val="0"/>
        <w:autoSpaceDE/>
        <w:autoSpaceDN/>
        <w:bidi w:val="0"/>
        <w:adjustRightInd/>
        <w:snapToGrid/>
        <w:spacing w:line="240" w:lineRule="auto"/>
        <w:ind w:left="0" w:lef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rPr>
        <w:t>　本条例适用于本省行政区域内城市公共汽车客运的规划、建设、运营以及监督管理等活动。</w:t>
      </w:r>
    </w:p>
    <w:p>
      <w:pPr>
        <w:pageBreakBefore w:val="0"/>
        <w:widowControl w:val="0"/>
        <w:kinsoku/>
        <w:wordWrap/>
        <w:overflowPunct/>
        <w:topLinePunct w:val="0"/>
        <w:autoSpaceDE/>
        <w:autoSpaceDN/>
        <w:bidi w:val="0"/>
        <w:adjustRightInd/>
        <w:snapToGrid/>
        <w:spacing w:line="240" w:lineRule="auto"/>
        <w:ind w:left="0" w:lef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本条例所称的城市公共汽车客运，是指在设区的市、县（市）人民政府确定的区域内，利用公共汽车和客运服务设施，按照核定的线路、站点、时间、价格运营，为社会公众提供出行服务的活动。</w:t>
      </w:r>
    </w:p>
    <w:p>
      <w:pPr>
        <w:pageBreakBefore w:val="0"/>
        <w:widowControl w:val="0"/>
        <w:kinsoku/>
        <w:wordWrap/>
        <w:overflowPunct/>
        <w:topLinePunct w:val="0"/>
        <w:autoSpaceDE/>
        <w:autoSpaceDN/>
        <w:bidi w:val="0"/>
        <w:adjustRightInd/>
        <w:snapToGrid/>
        <w:spacing w:line="240" w:lineRule="auto"/>
        <w:ind w:left="0" w:lef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rPr>
        <w:t>　城市公共汽车客运是为公众提供基本出行服务的社会公益性事业，应当遵循政府主导、统筹规划、方便公众、安全便捷、绿色发展的原则。</w:t>
      </w:r>
    </w:p>
    <w:p>
      <w:pPr>
        <w:pageBreakBefore w:val="0"/>
        <w:widowControl w:val="0"/>
        <w:kinsoku/>
        <w:wordWrap/>
        <w:overflowPunct/>
        <w:topLinePunct w:val="0"/>
        <w:autoSpaceDE/>
        <w:autoSpaceDN/>
        <w:bidi w:val="0"/>
        <w:adjustRightInd/>
        <w:snapToGrid/>
        <w:spacing w:line="240" w:lineRule="auto"/>
        <w:ind w:left="0" w:lef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rPr>
        <w:t>　设区的市、县级人民政府是发展城市公共汽车客运的责任主体，应当在设施建设、用地安排、路权分配、财税扶持等方面优先保障城市公共汽车客运发展，引导公众优先选择城市公共汽车出行。</w:t>
      </w:r>
    </w:p>
    <w:p>
      <w:pPr>
        <w:pageBreakBefore w:val="0"/>
        <w:widowControl w:val="0"/>
        <w:kinsoku/>
        <w:wordWrap/>
        <w:overflowPunct/>
        <w:topLinePunct w:val="0"/>
        <w:autoSpaceDE/>
        <w:autoSpaceDN/>
        <w:bidi w:val="0"/>
        <w:adjustRightInd/>
        <w:snapToGrid/>
        <w:spacing w:line="240" w:lineRule="auto"/>
        <w:ind w:left="0" w:lef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鼓励社会资本参与城市公共汽车客运基础设施建设和运营，引导城市公共汽车客运经营企业规模化经营。</w:t>
      </w:r>
    </w:p>
    <w:p>
      <w:pPr>
        <w:pageBreakBefore w:val="0"/>
        <w:widowControl w:val="0"/>
        <w:kinsoku/>
        <w:wordWrap/>
        <w:overflowPunct/>
        <w:topLinePunct w:val="0"/>
        <w:autoSpaceDE/>
        <w:autoSpaceDN/>
        <w:bidi w:val="0"/>
        <w:adjustRightInd/>
        <w:snapToGrid/>
        <w:spacing w:line="240" w:lineRule="auto"/>
        <w:ind w:left="0" w:lef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各级人民政府应当根据经济社会发展需要，推进城乡公共汽车客运一体化。</w:t>
      </w:r>
    </w:p>
    <w:p>
      <w:pPr>
        <w:pageBreakBefore w:val="0"/>
        <w:widowControl w:val="0"/>
        <w:kinsoku/>
        <w:wordWrap/>
        <w:overflowPunct/>
        <w:topLinePunct w:val="0"/>
        <w:autoSpaceDE/>
        <w:autoSpaceDN/>
        <w:bidi w:val="0"/>
        <w:adjustRightInd/>
        <w:snapToGrid/>
        <w:spacing w:line="240" w:lineRule="auto"/>
        <w:ind w:left="0" w:lef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第五条　</w:t>
      </w:r>
      <w:r>
        <w:rPr>
          <w:rFonts w:hint="eastAsia" w:ascii="仿宋_GB2312" w:hAnsi="仿宋_GB2312" w:eastAsia="仿宋_GB2312" w:cs="仿宋_GB2312"/>
          <w:sz w:val="32"/>
          <w:szCs w:val="32"/>
        </w:rPr>
        <w:t>县级以上人民政府交通运输行政主管部门主管本行政区域内的城市公共汽车客运管理工作，其所属的道路运输管理机构负责具体实施城市公共汽车客运管理工作。</w:t>
      </w:r>
    </w:p>
    <w:p>
      <w:pPr>
        <w:pageBreakBefore w:val="0"/>
        <w:widowControl w:val="0"/>
        <w:kinsoku/>
        <w:wordWrap/>
        <w:overflowPunct/>
        <w:topLinePunct w:val="0"/>
        <w:autoSpaceDE/>
        <w:autoSpaceDN/>
        <w:bidi w:val="0"/>
        <w:adjustRightInd/>
        <w:snapToGrid/>
        <w:spacing w:line="240" w:lineRule="auto"/>
        <w:ind w:left="0" w:lef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县级以上人民政府有关部门应当依据各自职责，共同做好城市公共汽车客运管理工作。</w:t>
      </w:r>
    </w:p>
    <w:p>
      <w:pPr>
        <w:pageBreakBefore w:val="0"/>
        <w:widowControl w:val="0"/>
        <w:kinsoku/>
        <w:wordWrap/>
        <w:overflowPunct/>
        <w:topLinePunct w:val="0"/>
        <w:autoSpaceDE/>
        <w:autoSpaceDN/>
        <w:bidi w:val="0"/>
        <w:adjustRightInd/>
        <w:snapToGrid/>
        <w:spacing w:line="240" w:lineRule="auto"/>
        <w:ind w:left="0" w:leftChars="0" w:firstLine="640" w:firstLineChars="200"/>
        <w:textAlignment w:val="auto"/>
        <w:rPr>
          <w:rFonts w:hint="eastAsia" w:ascii="仿宋_GB2312" w:hAnsi="仿宋_GB2312" w:eastAsia="仿宋_GB2312" w:cs="仿宋_GB2312"/>
          <w:sz w:val="32"/>
          <w:szCs w:val="32"/>
        </w:rPr>
      </w:pPr>
    </w:p>
    <w:p>
      <w:pPr>
        <w:pageBreakBefore w:val="0"/>
        <w:widowControl w:val="0"/>
        <w:kinsoku/>
        <w:wordWrap/>
        <w:overflowPunct/>
        <w:topLinePunct w:val="0"/>
        <w:autoSpaceDE/>
        <w:autoSpaceDN/>
        <w:bidi w:val="0"/>
        <w:adjustRightInd/>
        <w:snapToGrid/>
        <w:spacing w:line="240" w:lineRule="auto"/>
        <w:ind w:left="0" w:leftChars="0"/>
        <w:jc w:val="center"/>
        <w:textAlignment w:val="auto"/>
        <w:rPr>
          <w:rFonts w:hint="eastAsia" w:ascii="黑体" w:hAnsi="黑体" w:eastAsia="黑体" w:cs="黑体"/>
          <w:sz w:val="32"/>
          <w:szCs w:val="32"/>
        </w:rPr>
      </w:pPr>
      <w:r>
        <w:rPr>
          <w:rFonts w:hint="eastAsia" w:ascii="黑体" w:hAnsi="黑体" w:eastAsia="黑体" w:cs="黑体"/>
          <w:sz w:val="32"/>
          <w:szCs w:val="32"/>
        </w:rPr>
        <w:t>第二章　规划与建设</w:t>
      </w:r>
    </w:p>
    <w:p>
      <w:pPr>
        <w:pageBreakBefore w:val="0"/>
        <w:widowControl w:val="0"/>
        <w:kinsoku/>
        <w:wordWrap/>
        <w:overflowPunct/>
        <w:topLinePunct w:val="0"/>
        <w:autoSpaceDE/>
        <w:autoSpaceDN/>
        <w:bidi w:val="0"/>
        <w:adjustRightInd/>
        <w:snapToGrid/>
        <w:spacing w:line="240" w:lineRule="auto"/>
        <w:ind w:left="0" w:leftChars="0" w:firstLine="640" w:firstLineChars="200"/>
        <w:textAlignment w:val="auto"/>
        <w:rPr>
          <w:rFonts w:hint="eastAsia" w:ascii="仿宋_GB2312" w:hAnsi="仿宋_GB2312" w:eastAsia="仿宋_GB2312" w:cs="仿宋_GB2312"/>
          <w:sz w:val="32"/>
          <w:szCs w:val="32"/>
        </w:rPr>
      </w:pPr>
    </w:p>
    <w:p>
      <w:pPr>
        <w:pageBreakBefore w:val="0"/>
        <w:widowControl w:val="0"/>
        <w:kinsoku/>
        <w:wordWrap/>
        <w:overflowPunct/>
        <w:topLinePunct w:val="0"/>
        <w:autoSpaceDE/>
        <w:autoSpaceDN/>
        <w:bidi w:val="0"/>
        <w:adjustRightInd/>
        <w:snapToGrid/>
        <w:spacing w:line="240" w:lineRule="auto"/>
        <w:ind w:left="0" w:lef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eastAsia="仿宋_GB2312" w:cs="仿宋_GB2312"/>
          <w:sz w:val="32"/>
          <w:szCs w:val="32"/>
        </w:rPr>
        <w:t>　设区的市、县（市）人民政府交通运输行政主管部门应当会同住房城乡建设、规划、公安、国土资源等部门根据城市总体规划编制城市公共交通规划，报本级人民政府批准后实施。</w:t>
      </w:r>
    </w:p>
    <w:p>
      <w:pPr>
        <w:pageBreakBefore w:val="0"/>
        <w:widowControl w:val="0"/>
        <w:kinsoku/>
        <w:wordWrap/>
        <w:overflowPunct/>
        <w:topLinePunct w:val="0"/>
        <w:autoSpaceDE/>
        <w:autoSpaceDN/>
        <w:bidi w:val="0"/>
        <w:adjustRightInd/>
        <w:snapToGrid/>
        <w:spacing w:line="240" w:lineRule="auto"/>
        <w:ind w:left="0" w:lef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城市公共交通规划应当根据经济社会发展需要，科学规划线网布局，优化重要交通节点设置和方便换乘，加强城市公共汽车客运与轨道交通、个体机动化交通以及步行、自行车出行的协调，促进城市内外交通便利衔接和城乡公共交通一体化发展。</w:t>
      </w:r>
    </w:p>
    <w:p>
      <w:pPr>
        <w:pageBreakBefore w:val="0"/>
        <w:widowControl w:val="0"/>
        <w:kinsoku/>
        <w:wordWrap/>
        <w:overflowPunct/>
        <w:topLinePunct w:val="0"/>
        <w:autoSpaceDE/>
        <w:autoSpaceDN/>
        <w:bidi w:val="0"/>
        <w:adjustRightInd/>
        <w:snapToGrid/>
        <w:spacing w:line="240" w:lineRule="auto"/>
        <w:ind w:left="0" w:lef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编制城市公共交通规划，应当向社会公示规划草案，广泛征求社会意见，并对公众意见采纳情况向社会公布。</w:t>
      </w:r>
    </w:p>
    <w:p>
      <w:pPr>
        <w:pageBreakBefore w:val="0"/>
        <w:widowControl w:val="0"/>
        <w:kinsoku/>
        <w:wordWrap/>
        <w:overflowPunct/>
        <w:topLinePunct w:val="0"/>
        <w:autoSpaceDE/>
        <w:autoSpaceDN/>
        <w:bidi w:val="0"/>
        <w:adjustRightInd/>
        <w:snapToGrid/>
        <w:spacing w:line="240" w:lineRule="auto"/>
        <w:ind w:left="0" w:lef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第七条　</w:t>
      </w:r>
      <w:r>
        <w:rPr>
          <w:rFonts w:hint="eastAsia" w:ascii="仿宋_GB2312" w:hAnsi="仿宋_GB2312" w:eastAsia="仿宋_GB2312" w:cs="仿宋_GB2312"/>
          <w:sz w:val="32"/>
          <w:szCs w:val="32"/>
        </w:rPr>
        <w:t>设区的市、县级人民政府应当优先保障城市公共汽车客运服务设施用地。符合《划拨用地目录》的，应当以划拨方式供地。</w:t>
      </w:r>
    </w:p>
    <w:p>
      <w:pPr>
        <w:pageBreakBefore w:val="0"/>
        <w:widowControl w:val="0"/>
        <w:kinsoku/>
        <w:wordWrap/>
        <w:overflowPunct/>
        <w:topLinePunct w:val="0"/>
        <w:autoSpaceDE/>
        <w:autoSpaceDN/>
        <w:bidi w:val="0"/>
        <w:adjustRightInd/>
        <w:snapToGrid/>
        <w:spacing w:line="240" w:lineRule="auto"/>
        <w:ind w:left="0" w:lef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城市公共交通规划确定和预留的城市公共汽车客运服务设施用地，应当纳入城市用地规划统一管理，任何单位和个人不得侵占或者擅自改变其使用性质。</w:t>
      </w:r>
    </w:p>
    <w:p>
      <w:pPr>
        <w:pageBreakBefore w:val="0"/>
        <w:widowControl w:val="0"/>
        <w:kinsoku/>
        <w:wordWrap/>
        <w:overflowPunct/>
        <w:topLinePunct w:val="0"/>
        <w:autoSpaceDE/>
        <w:autoSpaceDN/>
        <w:bidi w:val="0"/>
        <w:adjustRightInd/>
        <w:snapToGrid/>
        <w:spacing w:line="240" w:lineRule="auto"/>
        <w:ind w:left="0" w:lef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鼓励城市公共汽车客运服务设施土地使用者依法进行综合开发，提高土地利用效率。综合开发的收益用于城市公共汽车客运服务设施建设以及弥补运营亏损。</w:t>
      </w:r>
    </w:p>
    <w:p>
      <w:pPr>
        <w:pageBreakBefore w:val="0"/>
        <w:widowControl w:val="0"/>
        <w:kinsoku/>
        <w:wordWrap/>
        <w:overflowPunct/>
        <w:topLinePunct w:val="0"/>
        <w:autoSpaceDE/>
        <w:autoSpaceDN/>
        <w:bidi w:val="0"/>
        <w:adjustRightInd/>
        <w:snapToGrid/>
        <w:spacing w:line="240" w:lineRule="auto"/>
        <w:ind w:left="0" w:lef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第八条　</w:t>
      </w:r>
      <w:r>
        <w:rPr>
          <w:rFonts w:hint="eastAsia" w:ascii="仿宋_GB2312" w:hAnsi="仿宋_GB2312" w:eastAsia="仿宋_GB2312" w:cs="仿宋_GB2312"/>
          <w:sz w:val="32"/>
          <w:szCs w:val="32"/>
        </w:rPr>
        <w:t>设区的市、县级人民政府规划、公安、交通运输等部门应当根据城市道路的技术条件、交通流量、出行结构、噪声和尾气控制等因素，科学设置或者调整公共汽车专用道以及优先通行信号系统，加强专用道的监控管理，禁止其他车辆进入公共汽车专用道行驶，保障城市公共汽车路权优先。</w:t>
      </w:r>
    </w:p>
    <w:p>
      <w:pPr>
        <w:pageBreakBefore w:val="0"/>
        <w:widowControl w:val="0"/>
        <w:kinsoku/>
        <w:wordWrap/>
        <w:overflowPunct/>
        <w:topLinePunct w:val="0"/>
        <w:autoSpaceDE/>
        <w:autoSpaceDN/>
        <w:bidi w:val="0"/>
        <w:adjustRightInd/>
        <w:snapToGrid/>
        <w:spacing w:line="240" w:lineRule="auto"/>
        <w:ind w:left="0" w:lef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道路运输管理机构应当根据公共客运发展规划和城乡发展的实际需要，适时组织客流量调查和客运线路普查，优化公共汽车线网，合理调整公共汽车客运线路、站点和运营时间。</w:t>
      </w:r>
    </w:p>
    <w:p>
      <w:pPr>
        <w:pageBreakBefore w:val="0"/>
        <w:widowControl w:val="0"/>
        <w:kinsoku/>
        <w:wordWrap/>
        <w:overflowPunct/>
        <w:topLinePunct w:val="0"/>
        <w:autoSpaceDE/>
        <w:autoSpaceDN/>
        <w:bidi w:val="0"/>
        <w:adjustRightInd/>
        <w:snapToGrid/>
        <w:spacing w:line="240" w:lineRule="auto"/>
        <w:ind w:left="0" w:lef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rPr>
        <w:t>　实施新区开发、旧城改造、大型住宅小区建设以及新建、改建、扩建机场、火车站、长途汽车客运站、码头、轨道交通等设施和旅游景点、大型商业、娱乐、文化、教育、体育等公共设施时，设区的市、县级人民政府应当按照公共汽车客运配建标准配套建设城市公共汽车客运服务设施，并与主体工程同步设计、同步建设、同步竣工、同步交付使用。</w:t>
      </w:r>
    </w:p>
    <w:p>
      <w:pPr>
        <w:pageBreakBefore w:val="0"/>
        <w:widowControl w:val="0"/>
        <w:kinsoku/>
        <w:wordWrap/>
        <w:overflowPunct/>
        <w:topLinePunct w:val="0"/>
        <w:autoSpaceDE/>
        <w:autoSpaceDN/>
        <w:bidi w:val="0"/>
        <w:adjustRightInd/>
        <w:snapToGrid/>
        <w:spacing w:line="240" w:lineRule="auto"/>
        <w:ind w:left="0" w:lef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rPr>
        <w:t>　城市公共汽车客运服务设施的经营管理者应当加强管理和维护，保障设施安全、完好。</w:t>
      </w:r>
    </w:p>
    <w:p>
      <w:pPr>
        <w:pageBreakBefore w:val="0"/>
        <w:widowControl w:val="0"/>
        <w:kinsoku/>
        <w:wordWrap/>
        <w:overflowPunct/>
        <w:topLinePunct w:val="0"/>
        <w:autoSpaceDE/>
        <w:autoSpaceDN/>
        <w:bidi w:val="0"/>
        <w:adjustRightInd/>
        <w:snapToGrid/>
        <w:spacing w:line="240" w:lineRule="auto"/>
        <w:ind w:left="0" w:lef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任何单位和个人不得擅自占用、移动、拆除城市公共汽车客运服务设施。确需占用、移动、拆除城市公共汽车客运服务设施的，应当经道路运输管理机构和城市公共汽车客运服务设施经营管理者同意，并及时予以恢复重建。</w:t>
      </w:r>
    </w:p>
    <w:p>
      <w:pPr>
        <w:pageBreakBefore w:val="0"/>
        <w:widowControl w:val="0"/>
        <w:kinsoku/>
        <w:wordWrap/>
        <w:overflowPunct/>
        <w:topLinePunct w:val="0"/>
        <w:autoSpaceDE/>
        <w:autoSpaceDN/>
        <w:bidi w:val="0"/>
        <w:adjustRightInd/>
        <w:snapToGrid/>
        <w:spacing w:line="240" w:lineRule="auto"/>
        <w:ind w:left="0" w:lef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任何单位和个人不得污损、涂改、覆盖城市公共汽车客运服务标志等设施；不得摆摊设点、堆积物品，妨碍公共汽车站点使用。在公共汽车站点及距离站点三十米以内的路段，其他车辆不得停靠。</w:t>
      </w:r>
    </w:p>
    <w:p>
      <w:pPr>
        <w:pageBreakBefore w:val="0"/>
        <w:widowControl w:val="0"/>
        <w:kinsoku/>
        <w:wordWrap/>
        <w:overflowPunct/>
        <w:topLinePunct w:val="0"/>
        <w:autoSpaceDE/>
        <w:autoSpaceDN/>
        <w:bidi w:val="0"/>
        <w:adjustRightInd/>
        <w:snapToGrid/>
        <w:spacing w:line="240" w:lineRule="auto"/>
        <w:ind w:left="0" w:lef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rPr>
        <w:t>　城市公共汽车站点的命名应当指位明确、导向无误，一般以传统地名或者所在道路、标志性建筑物、公共设施、历史文化景点或者公共服务机构的名称命名，由道路运输管理机构确定。</w:t>
      </w:r>
    </w:p>
    <w:p>
      <w:pPr>
        <w:pageBreakBefore w:val="0"/>
        <w:widowControl w:val="0"/>
        <w:kinsoku/>
        <w:wordWrap/>
        <w:overflowPunct/>
        <w:topLinePunct w:val="0"/>
        <w:autoSpaceDE/>
        <w:autoSpaceDN/>
        <w:bidi w:val="0"/>
        <w:adjustRightInd/>
        <w:snapToGrid/>
        <w:spacing w:line="240" w:lineRule="auto"/>
        <w:ind w:left="0" w:leftChars="0" w:firstLine="640" w:firstLineChars="200"/>
        <w:textAlignment w:val="auto"/>
        <w:rPr>
          <w:rFonts w:hint="eastAsia" w:ascii="仿宋_GB2312" w:hAnsi="仿宋_GB2312" w:eastAsia="仿宋_GB2312" w:cs="仿宋_GB2312"/>
          <w:sz w:val="32"/>
          <w:szCs w:val="32"/>
        </w:rPr>
      </w:pPr>
    </w:p>
    <w:p>
      <w:pPr>
        <w:pageBreakBefore w:val="0"/>
        <w:widowControl w:val="0"/>
        <w:kinsoku/>
        <w:wordWrap/>
        <w:overflowPunct/>
        <w:topLinePunct w:val="0"/>
        <w:autoSpaceDE/>
        <w:autoSpaceDN/>
        <w:bidi w:val="0"/>
        <w:adjustRightInd/>
        <w:snapToGrid/>
        <w:spacing w:line="240" w:lineRule="auto"/>
        <w:ind w:left="0" w:leftChars="0"/>
        <w:jc w:val="center"/>
        <w:textAlignment w:val="auto"/>
        <w:rPr>
          <w:rFonts w:hint="eastAsia" w:ascii="黑体" w:hAnsi="黑体" w:eastAsia="黑体" w:cs="黑体"/>
          <w:sz w:val="32"/>
          <w:szCs w:val="32"/>
        </w:rPr>
      </w:pPr>
      <w:r>
        <w:rPr>
          <w:rFonts w:hint="eastAsia" w:ascii="黑体" w:hAnsi="黑体" w:eastAsia="黑体" w:cs="黑体"/>
          <w:sz w:val="32"/>
          <w:szCs w:val="32"/>
        </w:rPr>
        <w:t>第三章　经营许可</w:t>
      </w:r>
    </w:p>
    <w:p>
      <w:pPr>
        <w:pageBreakBefore w:val="0"/>
        <w:widowControl w:val="0"/>
        <w:kinsoku/>
        <w:wordWrap/>
        <w:overflowPunct/>
        <w:topLinePunct w:val="0"/>
        <w:autoSpaceDE/>
        <w:autoSpaceDN/>
        <w:bidi w:val="0"/>
        <w:adjustRightInd/>
        <w:snapToGrid/>
        <w:spacing w:line="240" w:lineRule="auto"/>
        <w:ind w:left="0" w:leftChars="0" w:firstLine="640" w:firstLineChars="200"/>
        <w:textAlignment w:val="auto"/>
        <w:rPr>
          <w:rFonts w:hint="eastAsia" w:ascii="仿宋_GB2312" w:hAnsi="仿宋_GB2312" w:eastAsia="仿宋_GB2312" w:cs="仿宋_GB2312"/>
          <w:sz w:val="32"/>
          <w:szCs w:val="32"/>
        </w:rPr>
      </w:pPr>
    </w:p>
    <w:p>
      <w:pPr>
        <w:pageBreakBefore w:val="0"/>
        <w:widowControl w:val="0"/>
        <w:kinsoku/>
        <w:wordWrap/>
        <w:overflowPunct/>
        <w:topLinePunct w:val="0"/>
        <w:autoSpaceDE/>
        <w:autoSpaceDN/>
        <w:bidi w:val="0"/>
        <w:adjustRightInd/>
        <w:snapToGrid/>
        <w:spacing w:line="240" w:lineRule="auto"/>
        <w:ind w:left="0" w:lef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rPr>
        <w:t>　从事城市公共汽车客运经营活动，应当具备下列条件：</w:t>
      </w:r>
    </w:p>
    <w:p>
      <w:pPr>
        <w:pageBreakBefore w:val="0"/>
        <w:widowControl w:val="0"/>
        <w:kinsoku/>
        <w:wordWrap/>
        <w:overflowPunct/>
        <w:topLinePunct w:val="0"/>
        <w:autoSpaceDE/>
        <w:autoSpaceDN/>
        <w:bidi w:val="0"/>
        <w:adjustRightInd/>
        <w:snapToGrid/>
        <w:spacing w:line="240" w:lineRule="auto"/>
        <w:ind w:left="0" w:lef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（一）有合理、可行的经营方案；</w:t>
      </w:r>
    </w:p>
    <w:p>
      <w:pPr>
        <w:pageBreakBefore w:val="0"/>
        <w:widowControl w:val="0"/>
        <w:kinsoku/>
        <w:wordWrap/>
        <w:overflowPunct/>
        <w:topLinePunct w:val="0"/>
        <w:autoSpaceDE/>
        <w:autoSpaceDN/>
        <w:bidi w:val="0"/>
        <w:adjustRightInd/>
        <w:snapToGrid/>
        <w:spacing w:line="240" w:lineRule="auto"/>
        <w:ind w:left="0" w:lef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（二）有与经营规模相适应的运营车辆；</w:t>
      </w:r>
    </w:p>
    <w:p>
      <w:pPr>
        <w:pageBreakBefore w:val="0"/>
        <w:widowControl w:val="0"/>
        <w:kinsoku/>
        <w:wordWrap/>
        <w:overflowPunct/>
        <w:topLinePunct w:val="0"/>
        <w:autoSpaceDE/>
        <w:autoSpaceDN/>
        <w:bidi w:val="0"/>
        <w:adjustRightInd/>
        <w:snapToGrid/>
        <w:spacing w:line="240" w:lineRule="auto"/>
        <w:ind w:left="0" w:lef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（三）有相应的经营管理人员、调度员、驾驶员和其他从业人员；</w:t>
      </w:r>
    </w:p>
    <w:p>
      <w:pPr>
        <w:pageBreakBefore w:val="0"/>
        <w:widowControl w:val="0"/>
        <w:kinsoku/>
        <w:wordWrap/>
        <w:overflowPunct/>
        <w:topLinePunct w:val="0"/>
        <w:autoSpaceDE/>
        <w:autoSpaceDN/>
        <w:bidi w:val="0"/>
        <w:adjustRightInd/>
        <w:snapToGrid/>
        <w:spacing w:line="240" w:lineRule="auto"/>
        <w:ind w:left="0" w:lef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（四）有与经营方案相配套的客运服务、安全管理等方面的运营管理制度；</w:t>
      </w:r>
    </w:p>
    <w:p>
      <w:pPr>
        <w:pageBreakBefore w:val="0"/>
        <w:widowControl w:val="0"/>
        <w:kinsoku/>
        <w:wordWrap/>
        <w:overflowPunct/>
        <w:topLinePunct w:val="0"/>
        <w:autoSpaceDE/>
        <w:autoSpaceDN/>
        <w:bidi w:val="0"/>
        <w:adjustRightInd/>
        <w:snapToGrid/>
        <w:spacing w:line="240" w:lineRule="auto"/>
        <w:ind w:left="0" w:lef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（五）法律、法规规定的其他条件。</w:t>
      </w:r>
    </w:p>
    <w:p>
      <w:pPr>
        <w:pageBreakBefore w:val="0"/>
        <w:widowControl w:val="0"/>
        <w:kinsoku/>
        <w:wordWrap/>
        <w:overflowPunct/>
        <w:topLinePunct w:val="0"/>
        <w:autoSpaceDE/>
        <w:autoSpaceDN/>
        <w:bidi w:val="0"/>
        <w:adjustRightInd/>
        <w:snapToGrid/>
        <w:spacing w:line="240" w:lineRule="auto"/>
        <w:ind w:left="0" w:lef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eastAsia="仿宋_GB2312" w:cs="仿宋_GB2312"/>
          <w:sz w:val="32"/>
          <w:szCs w:val="32"/>
        </w:rPr>
        <w:t>　从事城市公共汽车客运运营的车辆，应当符合规定的车型、相关技术标准，性能和设施安全、完好，安装和使用具有信息采集、存储、交换和监控功能的设施。</w:t>
      </w:r>
    </w:p>
    <w:p>
      <w:pPr>
        <w:pageBreakBefore w:val="0"/>
        <w:widowControl w:val="0"/>
        <w:kinsoku/>
        <w:wordWrap/>
        <w:overflowPunct/>
        <w:topLinePunct w:val="0"/>
        <w:autoSpaceDE/>
        <w:autoSpaceDN/>
        <w:bidi w:val="0"/>
        <w:adjustRightInd/>
        <w:snapToGrid/>
        <w:spacing w:line="240" w:lineRule="auto"/>
        <w:ind w:left="0" w:lef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第十四条　</w:t>
      </w:r>
      <w:r>
        <w:rPr>
          <w:rFonts w:hint="eastAsia" w:ascii="仿宋_GB2312" w:hAnsi="仿宋_GB2312" w:eastAsia="仿宋_GB2312" w:cs="仿宋_GB2312"/>
          <w:sz w:val="32"/>
          <w:szCs w:val="32"/>
        </w:rPr>
        <w:t>从事城市公共汽车客运运营的驾驶员，应当符合下列条件：</w:t>
      </w:r>
    </w:p>
    <w:p>
      <w:pPr>
        <w:pageBreakBefore w:val="0"/>
        <w:widowControl w:val="0"/>
        <w:kinsoku/>
        <w:wordWrap/>
        <w:overflowPunct/>
        <w:topLinePunct w:val="0"/>
        <w:autoSpaceDE/>
        <w:autoSpaceDN/>
        <w:bidi w:val="0"/>
        <w:adjustRightInd/>
        <w:snapToGrid/>
        <w:spacing w:line="240" w:lineRule="auto"/>
        <w:ind w:left="0" w:lef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（一）取得相应的机动车驾驶证；</w:t>
      </w:r>
    </w:p>
    <w:p>
      <w:pPr>
        <w:pageBreakBefore w:val="0"/>
        <w:widowControl w:val="0"/>
        <w:kinsoku/>
        <w:wordWrap/>
        <w:overflowPunct/>
        <w:topLinePunct w:val="0"/>
        <w:autoSpaceDE/>
        <w:autoSpaceDN/>
        <w:bidi w:val="0"/>
        <w:adjustRightInd/>
        <w:snapToGrid/>
        <w:spacing w:line="240" w:lineRule="auto"/>
        <w:ind w:left="0" w:lef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（二）三年内无重大以上交通责任事故记录；</w:t>
      </w:r>
    </w:p>
    <w:p>
      <w:pPr>
        <w:pageBreakBefore w:val="0"/>
        <w:widowControl w:val="0"/>
        <w:kinsoku/>
        <w:wordWrap/>
        <w:overflowPunct/>
        <w:topLinePunct w:val="0"/>
        <w:autoSpaceDE/>
        <w:autoSpaceDN/>
        <w:bidi w:val="0"/>
        <w:adjustRightInd/>
        <w:snapToGrid/>
        <w:spacing w:line="240" w:lineRule="auto"/>
        <w:ind w:left="0" w:lef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（三）身心健康，无传染性疾病，无癫痫、精神病等可能危及行车安全的疾病病史；</w:t>
      </w:r>
    </w:p>
    <w:p>
      <w:pPr>
        <w:pageBreakBefore w:val="0"/>
        <w:widowControl w:val="0"/>
        <w:kinsoku/>
        <w:wordWrap/>
        <w:overflowPunct/>
        <w:topLinePunct w:val="0"/>
        <w:autoSpaceDE/>
        <w:autoSpaceDN/>
        <w:bidi w:val="0"/>
        <w:adjustRightInd/>
        <w:snapToGrid/>
        <w:spacing w:line="240" w:lineRule="auto"/>
        <w:ind w:left="0" w:lef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（四）法律、法规规定的其他条件。</w:t>
      </w:r>
    </w:p>
    <w:p>
      <w:pPr>
        <w:pageBreakBefore w:val="0"/>
        <w:widowControl w:val="0"/>
        <w:kinsoku/>
        <w:wordWrap/>
        <w:overflowPunct/>
        <w:topLinePunct w:val="0"/>
        <w:autoSpaceDE/>
        <w:autoSpaceDN/>
        <w:bidi w:val="0"/>
        <w:adjustRightInd/>
        <w:snapToGrid/>
        <w:spacing w:line="240" w:lineRule="auto"/>
        <w:ind w:left="0" w:lef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仿宋_GB2312" w:hAnsi="仿宋_GB2312" w:eastAsia="仿宋_GB2312" w:cs="仿宋_GB2312"/>
          <w:sz w:val="32"/>
          <w:szCs w:val="32"/>
        </w:rPr>
        <w:t>　从事城市公共汽车客运经营，应当向设区的市、县（市）道路运输管理机构申请取得城市公共汽车客运经营权。</w:t>
      </w:r>
    </w:p>
    <w:p>
      <w:pPr>
        <w:pageBreakBefore w:val="0"/>
        <w:widowControl w:val="0"/>
        <w:kinsoku/>
        <w:wordWrap/>
        <w:overflowPunct/>
        <w:topLinePunct w:val="0"/>
        <w:autoSpaceDE/>
        <w:autoSpaceDN/>
        <w:bidi w:val="0"/>
        <w:adjustRightInd/>
        <w:snapToGrid/>
        <w:spacing w:line="240" w:lineRule="auto"/>
        <w:ind w:left="0" w:lef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道路运输管理机构应当采取以服务质量为主要条件的招标、竞争性谈判等竞争方式，将城市公共汽车客运经营权授予符合法定条件的城市公共汽车客运经营企业；通过招标、竞争性谈判等竞争方式无法确定的，可采取直接授予的方式。</w:t>
      </w:r>
    </w:p>
    <w:p>
      <w:pPr>
        <w:pageBreakBefore w:val="0"/>
        <w:widowControl w:val="0"/>
        <w:kinsoku/>
        <w:wordWrap/>
        <w:overflowPunct/>
        <w:topLinePunct w:val="0"/>
        <w:autoSpaceDE/>
        <w:autoSpaceDN/>
        <w:bidi w:val="0"/>
        <w:adjustRightInd/>
        <w:snapToGrid/>
        <w:spacing w:line="240" w:lineRule="auto"/>
        <w:ind w:left="0" w:lef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禁止以有偿方式确定城市公共汽车客运经营权。禁止转让或者以承包、出租等方式变相转让城市公共汽车客运经营权。</w:t>
      </w:r>
    </w:p>
    <w:p>
      <w:pPr>
        <w:pageBreakBefore w:val="0"/>
        <w:widowControl w:val="0"/>
        <w:kinsoku/>
        <w:wordWrap/>
        <w:overflowPunct/>
        <w:topLinePunct w:val="0"/>
        <w:autoSpaceDE/>
        <w:autoSpaceDN/>
        <w:bidi w:val="0"/>
        <w:adjustRightInd/>
        <w:snapToGrid/>
        <w:spacing w:line="240" w:lineRule="auto"/>
        <w:ind w:left="0" w:lef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第十六条　</w:t>
      </w:r>
      <w:r>
        <w:rPr>
          <w:rFonts w:hint="eastAsia" w:ascii="仿宋_GB2312" w:hAnsi="仿宋_GB2312" w:eastAsia="仿宋_GB2312" w:cs="仿宋_GB2312"/>
          <w:sz w:val="32"/>
          <w:szCs w:val="32"/>
        </w:rPr>
        <w:t>道路运输管理机构应当与取得城市公共汽车客运经营权的企业签订运营协议。运营协议应当包括线路、站点、配备车辆数量与车型、发车间隔、首末班车时间的最低要求、经营期限、服务质量及考核办法、安全责任、违约责任等。</w:t>
      </w:r>
    </w:p>
    <w:p>
      <w:pPr>
        <w:pageBreakBefore w:val="0"/>
        <w:widowControl w:val="0"/>
        <w:kinsoku/>
        <w:wordWrap/>
        <w:overflowPunct/>
        <w:topLinePunct w:val="0"/>
        <w:autoSpaceDE/>
        <w:autoSpaceDN/>
        <w:bidi w:val="0"/>
        <w:adjustRightInd/>
        <w:snapToGrid/>
        <w:spacing w:line="240" w:lineRule="auto"/>
        <w:ind w:left="0" w:lef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第十七条　</w:t>
      </w:r>
      <w:r>
        <w:rPr>
          <w:rFonts w:hint="eastAsia" w:ascii="仿宋_GB2312" w:hAnsi="仿宋_GB2312" w:eastAsia="仿宋_GB2312" w:cs="仿宋_GB2312"/>
          <w:sz w:val="32"/>
          <w:szCs w:val="32"/>
        </w:rPr>
        <w:t>城市公共汽车客运经营企业经营期限届满需要延续经营的，应当在期限届满前六个月向道路运输管理机构提出申请。道路运输管理机构应当根据该企业服务质量考核结果、运营安全情况等，作出是否延续的决定。</w:t>
      </w:r>
    </w:p>
    <w:p>
      <w:pPr>
        <w:pageBreakBefore w:val="0"/>
        <w:widowControl w:val="0"/>
        <w:kinsoku/>
        <w:wordWrap/>
        <w:overflowPunct/>
        <w:topLinePunct w:val="0"/>
        <w:autoSpaceDE/>
        <w:autoSpaceDN/>
        <w:bidi w:val="0"/>
        <w:adjustRightInd/>
        <w:snapToGrid/>
        <w:spacing w:line="240" w:lineRule="auto"/>
        <w:ind w:left="0" w:leftChars="0" w:firstLine="640" w:firstLineChars="200"/>
        <w:textAlignment w:val="auto"/>
        <w:rPr>
          <w:rFonts w:hint="eastAsia" w:ascii="仿宋_GB2312" w:hAnsi="仿宋_GB2312" w:eastAsia="仿宋_GB2312" w:cs="仿宋_GB2312"/>
          <w:sz w:val="32"/>
          <w:szCs w:val="32"/>
        </w:rPr>
      </w:pPr>
    </w:p>
    <w:p>
      <w:pPr>
        <w:pageBreakBefore w:val="0"/>
        <w:widowControl w:val="0"/>
        <w:kinsoku/>
        <w:wordWrap/>
        <w:overflowPunct/>
        <w:topLinePunct w:val="0"/>
        <w:autoSpaceDE/>
        <w:autoSpaceDN/>
        <w:bidi w:val="0"/>
        <w:adjustRightInd/>
        <w:snapToGrid/>
        <w:spacing w:line="240" w:lineRule="auto"/>
        <w:ind w:left="0" w:leftChars="0"/>
        <w:jc w:val="center"/>
        <w:textAlignment w:val="auto"/>
        <w:rPr>
          <w:rFonts w:hint="eastAsia" w:ascii="黑体" w:hAnsi="黑体" w:eastAsia="黑体" w:cs="黑体"/>
          <w:sz w:val="32"/>
          <w:szCs w:val="32"/>
        </w:rPr>
      </w:pPr>
      <w:r>
        <w:rPr>
          <w:rFonts w:hint="eastAsia" w:ascii="黑体" w:hAnsi="黑体" w:eastAsia="黑体" w:cs="黑体"/>
          <w:sz w:val="32"/>
          <w:szCs w:val="32"/>
        </w:rPr>
        <w:t>第四章　运营管理</w:t>
      </w:r>
    </w:p>
    <w:p>
      <w:pPr>
        <w:pageBreakBefore w:val="0"/>
        <w:widowControl w:val="0"/>
        <w:kinsoku/>
        <w:wordWrap/>
        <w:overflowPunct/>
        <w:topLinePunct w:val="0"/>
        <w:autoSpaceDE/>
        <w:autoSpaceDN/>
        <w:bidi w:val="0"/>
        <w:adjustRightInd/>
        <w:snapToGrid/>
        <w:spacing w:line="240" w:lineRule="auto"/>
        <w:ind w:left="0" w:leftChars="0" w:firstLine="640" w:firstLineChars="200"/>
        <w:textAlignment w:val="auto"/>
        <w:rPr>
          <w:rFonts w:hint="eastAsia" w:ascii="仿宋_GB2312" w:hAnsi="仿宋_GB2312" w:eastAsia="仿宋_GB2312" w:cs="仿宋_GB2312"/>
          <w:sz w:val="32"/>
          <w:szCs w:val="32"/>
        </w:rPr>
      </w:pPr>
    </w:p>
    <w:p>
      <w:pPr>
        <w:pageBreakBefore w:val="0"/>
        <w:widowControl w:val="0"/>
        <w:kinsoku/>
        <w:wordWrap/>
        <w:overflowPunct/>
        <w:topLinePunct w:val="0"/>
        <w:autoSpaceDE/>
        <w:autoSpaceDN/>
        <w:bidi w:val="0"/>
        <w:adjustRightInd/>
        <w:snapToGrid/>
        <w:spacing w:line="240" w:lineRule="auto"/>
        <w:ind w:left="0" w:lef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rPr>
        <w:t>　城市公共汽车客运经营企业应当按照运营协议确定的线路、站点、时间、班次运营。确需调整的，应当经道路运输管理机构同意，并提前十日向社会公告。</w:t>
      </w:r>
    </w:p>
    <w:p>
      <w:pPr>
        <w:pageBreakBefore w:val="0"/>
        <w:widowControl w:val="0"/>
        <w:kinsoku/>
        <w:wordWrap/>
        <w:overflowPunct/>
        <w:topLinePunct w:val="0"/>
        <w:autoSpaceDE/>
        <w:autoSpaceDN/>
        <w:bidi w:val="0"/>
        <w:adjustRightInd/>
        <w:snapToGrid/>
        <w:spacing w:line="240" w:lineRule="auto"/>
        <w:ind w:left="0" w:lef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因市政工程建设、大型群众性活动等情况需要临时变更线路、站点、时间的，建设单位、活动举办者应当向公安机关交通管理部门和道路运输管理机构报告；公安机关交通管理部门应当会同道路运输管理机构与城市公共汽车客运经营企业协商确定调整运营方案，并由城市公共汽车客运经营企业提前十日向社会公告。因道路、桥梁除险加固等紧急情况需要临时调整的，应当及时向社会公告。</w:t>
      </w:r>
    </w:p>
    <w:p>
      <w:pPr>
        <w:pageBreakBefore w:val="0"/>
        <w:widowControl w:val="0"/>
        <w:kinsoku/>
        <w:wordWrap/>
        <w:overflowPunct/>
        <w:topLinePunct w:val="0"/>
        <w:autoSpaceDE/>
        <w:autoSpaceDN/>
        <w:bidi w:val="0"/>
        <w:adjustRightInd/>
        <w:snapToGrid/>
        <w:spacing w:line="240" w:lineRule="auto"/>
        <w:ind w:left="0" w:leftChars="0" w:firstLine="640" w:firstLineChars="200"/>
        <w:textAlignment w:val="auto"/>
        <w:rPr>
          <w:rFonts w:hint="eastAsia" w:ascii="仿宋_GB2312" w:hAnsi="仿宋_GB2312" w:eastAsia="仿宋_GB2312" w:cs="仿宋_GB2312"/>
          <w:spacing w:val="-4"/>
          <w:sz w:val="32"/>
          <w:szCs w:val="32"/>
        </w:rPr>
      </w:pPr>
      <w:r>
        <w:rPr>
          <w:rFonts w:hint="eastAsia" w:ascii="黑体" w:hAnsi="黑体" w:eastAsia="黑体" w:cs="黑体"/>
          <w:sz w:val="32"/>
          <w:szCs w:val="32"/>
        </w:rPr>
        <w:t>第十九条　</w:t>
      </w:r>
      <w:r>
        <w:rPr>
          <w:rFonts w:hint="eastAsia" w:ascii="仿宋_GB2312" w:hAnsi="仿宋_GB2312" w:eastAsia="仿宋_GB2312" w:cs="仿宋_GB2312"/>
          <w:sz w:val="32"/>
          <w:szCs w:val="32"/>
        </w:rPr>
        <w:t>城市公共汽车客运经营企业应当按照国家和省有关标准和规定设置公交站牌，并在站牌上标明线路名称、行驶</w:t>
      </w:r>
      <w:r>
        <w:rPr>
          <w:rFonts w:hint="eastAsia" w:ascii="仿宋_GB2312" w:hAnsi="仿宋_GB2312" w:eastAsia="仿宋_GB2312" w:cs="仿宋_GB2312"/>
          <w:spacing w:val="-4"/>
          <w:sz w:val="32"/>
          <w:szCs w:val="32"/>
        </w:rPr>
        <w:t>方向、首末班车时间、发车间隔、所在站点和沿途停靠站点等信息。</w:t>
      </w:r>
    </w:p>
    <w:p>
      <w:pPr>
        <w:pageBreakBefore w:val="0"/>
        <w:widowControl w:val="0"/>
        <w:kinsoku/>
        <w:wordWrap/>
        <w:overflowPunct/>
        <w:topLinePunct w:val="0"/>
        <w:autoSpaceDE/>
        <w:autoSpaceDN/>
        <w:bidi w:val="0"/>
        <w:adjustRightInd/>
        <w:snapToGrid/>
        <w:spacing w:line="240" w:lineRule="auto"/>
        <w:ind w:left="0" w:lef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eastAsia="仿宋_GB2312" w:cs="仿宋_GB2312"/>
          <w:sz w:val="32"/>
          <w:szCs w:val="32"/>
        </w:rPr>
        <w:t>　城市公共汽车客运实行政府定价。</w:t>
      </w:r>
    </w:p>
    <w:p>
      <w:pPr>
        <w:pageBreakBefore w:val="0"/>
        <w:widowControl w:val="0"/>
        <w:kinsoku/>
        <w:wordWrap/>
        <w:overflowPunct/>
        <w:topLinePunct w:val="0"/>
        <w:autoSpaceDE/>
        <w:autoSpaceDN/>
        <w:bidi w:val="0"/>
        <w:adjustRightInd/>
        <w:snapToGrid/>
        <w:spacing w:line="240" w:lineRule="auto"/>
        <w:ind w:left="0" w:lef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价格行政主管部门根据社会承受能力、企业运营成本和交通供求状况等因素确定城市公共汽车客运票价。</w:t>
      </w:r>
    </w:p>
    <w:p>
      <w:pPr>
        <w:pageBreakBefore w:val="0"/>
        <w:widowControl w:val="0"/>
        <w:kinsoku/>
        <w:wordWrap/>
        <w:overflowPunct/>
        <w:topLinePunct w:val="0"/>
        <w:autoSpaceDE/>
        <w:autoSpaceDN/>
        <w:bidi w:val="0"/>
        <w:adjustRightInd/>
        <w:snapToGrid/>
        <w:spacing w:line="240" w:lineRule="auto"/>
        <w:ind w:left="0" w:lef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确定城市公共汽车客运票价应当依法举行听证。</w:t>
      </w:r>
    </w:p>
    <w:p>
      <w:pPr>
        <w:pageBreakBefore w:val="0"/>
        <w:widowControl w:val="0"/>
        <w:kinsoku/>
        <w:wordWrap/>
        <w:overflowPunct/>
        <w:topLinePunct w:val="0"/>
        <w:autoSpaceDE/>
        <w:autoSpaceDN/>
        <w:bidi w:val="0"/>
        <w:adjustRightInd/>
        <w:snapToGrid/>
        <w:spacing w:line="240" w:lineRule="auto"/>
        <w:ind w:left="0" w:lef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rPr>
        <w:t>　免收下列乘客的乘车费用：</w:t>
      </w:r>
    </w:p>
    <w:p>
      <w:pPr>
        <w:pageBreakBefore w:val="0"/>
        <w:widowControl w:val="0"/>
        <w:numPr>
          <w:ilvl w:val="0"/>
          <w:numId w:val="1"/>
        </w:numPr>
        <w:kinsoku/>
        <w:wordWrap/>
        <w:overflowPunct/>
        <w:topLinePunct w:val="0"/>
        <w:autoSpaceDE/>
        <w:autoSpaceDN/>
        <w:bidi w:val="0"/>
        <w:adjustRightInd/>
        <w:snapToGrid/>
        <w:spacing w:line="240" w:lineRule="auto"/>
        <w:ind w:left="0" w:lef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现役军人、残疾军人、因公致残人民警察；</w:t>
      </w:r>
    </w:p>
    <w:p>
      <w:pPr>
        <w:pageBreakBefore w:val="0"/>
        <w:widowControl w:val="0"/>
        <w:kinsoku/>
        <w:wordWrap/>
        <w:overflowPunct/>
        <w:topLinePunct w:val="0"/>
        <w:autoSpaceDE/>
        <w:autoSpaceDN/>
        <w:bidi w:val="0"/>
        <w:adjustRightInd/>
        <w:snapToGrid/>
        <w:spacing w:line="240" w:lineRule="auto"/>
        <w:ind w:left="0" w:lef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（二）盲人、二级以上肢体残疾人；</w:t>
      </w:r>
    </w:p>
    <w:p>
      <w:pPr>
        <w:pageBreakBefore w:val="0"/>
        <w:widowControl w:val="0"/>
        <w:kinsoku/>
        <w:wordWrap/>
        <w:overflowPunct/>
        <w:topLinePunct w:val="0"/>
        <w:autoSpaceDE/>
        <w:autoSpaceDN/>
        <w:bidi w:val="0"/>
        <w:adjustRightInd/>
        <w:snapToGrid/>
        <w:spacing w:line="240" w:lineRule="auto"/>
        <w:ind w:left="0" w:lef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（三）七十周岁以上老年人以及设区的市、县（市）人民政府规定免费乘车的其他老年人；</w:t>
      </w:r>
    </w:p>
    <w:p>
      <w:pPr>
        <w:pageBreakBefore w:val="0"/>
        <w:widowControl w:val="0"/>
        <w:kinsoku/>
        <w:wordWrap/>
        <w:overflowPunct/>
        <w:topLinePunct w:val="0"/>
        <w:autoSpaceDE/>
        <w:autoSpaceDN/>
        <w:bidi w:val="0"/>
        <w:adjustRightInd/>
        <w:snapToGrid/>
        <w:spacing w:line="240" w:lineRule="auto"/>
        <w:ind w:left="0" w:lef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（四）身高</w:t>
      </w:r>
      <w:r>
        <w:rPr>
          <w:rFonts w:hint="eastAsia" w:ascii="仿宋_GB2312" w:hAnsi="仿宋_GB2312" w:eastAsia="仿宋_GB2312" w:cs="仿宋_GB2312"/>
          <w:sz w:val="32"/>
          <w:szCs w:val="32"/>
        </w:rPr>
        <w:t>1</w:t>
      </w:r>
      <w:r>
        <w:rPr>
          <w:rFonts w:hint="eastAsia" w:ascii="仿宋_GB2312" w:hAnsi="仿宋_GB2312" w:eastAsia="仿宋_GB2312" w:cs="仿宋_GB2312"/>
          <w:sz w:val="32"/>
          <w:szCs w:val="32"/>
        </w:rPr>
        <w:t>.</w:t>
      </w:r>
      <w:r>
        <w:rPr>
          <w:rFonts w:hint="eastAsia" w:ascii="仿宋_GB2312" w:hAnsi="仿宋_GB2312" w:eastAsia="仿宋_GB2312" w:cs="仿宋_GB2312"/>
          <w:sz w:val="32"/>
          <w:szCs w:val="32"/>
        </w:rPr>
        <w:t>3</w:t>
      </w:r>
      <w:r>
        <w:rPr>
          <w:rFonts w:hint="eastAsia" w:ascii="仿宋_GB2312" w:hAnsi="仿宋_GB2312" w:eastAsia="仿宋_GB2312" w:cs="仿宋_GB2312"/>
          <w:sz w:val="32"/>
          <w:szCs w:val="32"/>
        </w:rPr>
        <w:t>米以下的儿童；</w:t>
      </w:r>
    </w:p>
    <w:p>
      <w:pPr>
        <w:pageBreakBefore w:val="0"/>
        <w:widowControl w:val="0"/>
        <w:kinsoku/>
        <w:wordWrap/>
        <w:overflowPunct/>
        <w:topLinePunct w:val="0"/>
        <w:autoSpaceDE/>
        <w:autoSpaceDN/>
        <w:bidi w:val="0"/>
        <w:adjustRightInd/>
        <w:snapToGrid/>
        <w:spacing w:line="240" w:lineRule="auto"/>
        <w:ind w:left="0" w:lef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（五）其他享受免费乘车政策的人员。</w:t>
      </w:r>
    </w:p>
    <w:p>
      <w:pPr>
        <w:pageBreakBefore w:val="0"/>
        <w:widowControl w:val="0"/>
        <w:kinsoku/>
        <w:wordWrap/>
        <w:overflowPunct/>
        <w:topLinePunct w:val="0"/>
        <w:autoSpaceDE/>
        <w:autoSpaceDN/>
        <w:bidi w:val="0"/>
        <w:adjustRightInd/>
        <w:snapToGrid/>
        <w:spacing w:line="240" w:lineRule="auto"/>
        <w:ind w:left="0" w:lef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乘客可以免费携带重量三十千克以下或者长宽高之和不超过二百厘米的物品。</w:t>
      </w:r>
    </w:p>
    <w:p>
      <w:pPr>
        <w:pageBreakBefore w:val="0"/>
        <w:widowControl w:val="0"/>
        <w:kinsoku/>
        <w:wordWrap/>
        <w:overflowPunct/>
        <w:topLinePunct w:val="0"/>
        <w:autoSpaceDE/>
        <w:autoSpaceDN/>
        <w:bidi w:val="0"/>
        <w:adjustRightInd/>
        <w:snapToGrid/>
        <w:spacing w:line="240" w:lineRule="auto"/>
        <w:ind w:left="0" w:leftChars="0" w:firstLine="640" w:firstLineChars="200"/>
        <w:textAlignment w:val="auto"/>
        <w:rPr>
          <w:rFonts w:hint="eastAsia" w:ascii="仿宋_GB2312" w:hAnsi="仿宋_GB2312" w:eastAsia="仿宋_GB2312" w:cs="仿宋_GB2312"/>
          <w:spacing w:val="-4"/>
          <w:sz w:val="32"/>
          <w:szCs w:val="32"/>
        </w:rPr>
      </w:pPr>
      <w:r>
        <w:rPr>
          <w:rFonts w:hint="eastAsia" w:ascii="黑体" w:hAnsi="黑体" w:eastAsia="黑体" w:cs="黑体"/>
          <w:sz w:val="32"/>
          <w:szCs w:val="32"/>
        </w:rPr>
        <w:t>第二十二条</w:t>
      </w:r>
      <w:r>
        <w:rPr>
          <w:rFonts w:hint="eastAsia" w:ascii="仿宋_GB2312" w:hAnsi="仿宋_GB2312" w:eastAsia="仿宋_GB2312" w:cs="仿宋_GB2312"/>
          <w:sz w:val="32"/>
          <w:szCs w:val="32"/>
        </w:rPr>
        <w:t>　</w:t>
      </w:r>
      <w:r>
        <w:rPr>
          <w:rFonts w:hint="eastAsia" w:ascii="仿宋_GB2312" w:hAnsi="仿宋_GB2312" w:eastAsia="仿宋_GB2312" w:cs="仿宋_GB2312"/>
          <w:spacing w:val="-4"/>
          <w:sz w:val="32"/>
          <w:szCs w:val="32"/>
        </w:rPr>
        <w:t>城市公共汽车客运经营企业应当遵守下列规定：</w:t>
      </w:r>
    </w:p>
    <w:p>
      <w:pPr>
        <w:pageBreakBefore w:val="0"/>
        <w:widowControl w:val="0"/>
        <w:kinsoku/>
        <w:wordWrap/>
        <w:overflowPunct/>
        <w:topLinePunct w:val="0"/>
        <w:autoSpaceDE/>
        <w:autoSpaceDN/>
        <w:bidi w:val="0"/>
        <w:adjustRightInd/>
        <w:snapToGrid/>
        <w:spacing w:line="240" w:lineRule="auto"/>
        <w:ind w:left="0" w:lef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（一）执行城市公共汽车客运服务标准，向乘客提供安全、便利、稳定的服务，维护乘客的合法权益；</w:t>
      </w:r>
    </w:p>
    <w:p>
      <w:pPr>
        <w:pageBreakBefore w:val="0"/>
        <w:widowControl w:val="0"/>
        <w:kinsoku/>
        <w:wordWrap/>
        <w:overflowPunct/>
        <w:topLinePunct w:val="0"/>
        <w:autoSpaceDE/>
        <w:autoSpaceDN/>
        <w:bidi w:val="0"/>
        <w:adjustRightInd/>
        <w:snapToGrid/>
        <w:spacing w:line="240" w:lineRule="auto"/>
        <w:ind w:left="0" w:lef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（二）公示并执行价格行政主管部门规定的收费标准，落实减免票政策；</w:t>
      </w:r>
    </w:p>
    <w:p>
      <w:pPr>
        <w:pageBreakBefore w:val="0"/>
        <w:widowControl w:val="0"/>
        <w:kinsoku/>
        <w:wordWrap/>
        <w:overflowPunct/>
        <w:topLinePunct w:val="0"/>
        <w:autoSpaceDE/>
        <w:autoSpaceDN/>
        <w:bidi w:val="0"/>
        <w:adjustRightInd/>
        <w:snapToGrid/>
        <w:spacing w:line="240" w:lineRule="auto"/>
        <w:ind w:left="0" w:lef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（三）在车厢内显著位置公布服务监督电话，张贴线路走向示意图，设置老、弱、病、残、孕专用座位和禁烟标志；</w:t>
      </w:r>
    </w:p>
    <w:p>
      <w:pPr>
        <w:pageBreakBefore w:val="0"/>
        <w:widowControl w:val="0"/>
        <w:kinsoku/>
        <w:wordWrap/>
        <w:overflowPunct/>
        <w:topLinePunct w:val="0"/>
        <w:autoSpaceDE/>
        <w:autoSpaceDN/>
        <w:bidi w:val="0"/>
        <w:adjustRightInd/>
        <w:snapToGrid/>
        <w:spacing w:line="240" w:lineRule="auto"/>
        <w:ind w:left="0" w:lef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（四）加强对运营车辆的维护和检测，保持车辆技术、安全性能符合有关标准；</w:t>
      </w:r>
    </w:p>
    <w:p>
      <w:pPr>
        <w:pageBreakBefore w:val="0"/>
        <w:widowControl w:val="0"/>
        <w:kinsoku/>
        <w:wordWrap/>
        <w:overflowPunct/>
        <w:topLinePunct w:val="0"/>
        <w:autoSpaceDE/>
        <w:autoSpaceDN/>
        <w:bidi w:val="0"/>
        <w:adjustRightInd/>
        <w:snapToGrid/>
        <w:spacing w:line="240" w:lineRule="auto"/>
        <w:ind w:left="0" w:lef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（五）运营车辆因故障不能正常行驶的，及时组织乘客免费转乘同线路的其他车辆或者调派车辆，后续车辆驾驶员和乘务员不得拒载；</w:t>
      </w:r>
    </w:p>
    <w:p>
      <w:pPr>
        <w:pageBreakBefore w:val="0"/>
        <w:widowControl w:val="0"/>
        <w:kinsoku/>
        <w:wordWrap/>
        <w:overflowPunct/>
        <w:topLinePunct w:val="0"/>
        <w:autoSpaceDE/>
        <w:autoSpaceDN/>
        <w:bidi w:val="0"/>
        <w:adjustRightInd/>
        <w:snapToGrid/>
        <w:spacing w:line="240" w:lineRule="auto"/>
        <w:ind w:left="0" w:lef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（六）加强对从业人员职业道德、业务技能、安全生产的教育培训，组织从业人员定期进行健康检查，不得强迫从业人员违反安全生产制度作业；</w:t>
      </w:r>
    </w:p>
    <w:p>
      <w:pPr>
        <w:pageBreakBefore w:val="0"/>
        <w:widowControl w:val="0"/>
        <w:kinsoku/>
        <w:wordWrap/>
        <w:overflowPunct/>
        <w:topLinePunct w:val="0"/>
        <w:autoSpaceDE/>
        <w:autoSpaceDN/>
        <w:bidi w:val="0"/>
        <w:adjustRightInd/>
        <w:snapToGrid/>
        <w:spacing w:line="240" w:lineRule="auto"/>
        <w:ind w:left="0" w:lef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（七）不得擅自停业、歇业或者终止运营；</w:t>
      </w:r>
    </w:p>
    <w:p>
      <w:pPr>
        <w:pageBreakBefore w:val="0"/>
        <w:widowControl w:val="0"/>
        <w:kinsoku/>
        <w:wordWrap/>
        <w:overflowPunct/>
        <w:topLinePunct w:val="0"/>
        <w:autoSpaceDE/>
        <w:autoSpaceDN/>
        <w:bidi w:val="0"/>
        <w:adjustRightInd/>
        <w:snapToGrid/>
        <w:spacing w:line="240" w:lineRule="auto"/>
        <w:ind w:left="0" w:lef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（八）建立投诉举报制度，及时处理乘客投诉。</w:t>
      </w:r>
    </w:p>
    <w:p>
      <w:pPr>
        <w:pageBreakBefore w:val="0"/>
        <w:widowControl w:val="0"/>
        <w:kinsoku/>
        <w:wordWrap/>
        <w:overflowPunct/>
        <w:topLinePunct w:val="0"/>
        <w:autoSpaceDE/>
        <w:autoSpaceDN/>
        <w:bidi w:val="0"/>
        <w:adjustRightInd/>
        <w:snapToGrid/>
        <w:spacing w:line="240" w:lineRule="auto"/>
        <w:ind w:left="0" w:lef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第二十三条　</w:t>
      </w:r>
      <w:r>
        <w:rPr>
          <w:rFonts w:hint="eastAsia" w:ascii="仿宋_GB2312" w:hAnsi="仿宋_GB2312" w:eastAsia="仿宋_GB2312" w:cs="仿宋_GB2312"/>
          <w:sz w:val="32"/>
          <w:szCs w:val="32"/>
        </w:rPr>
        <w:t>城市公共汽车客运经营企业应当落实安全生产主体责任，建立、健全安全生产管理制度，保证安全资金投入，设立安全管理机构，配备安全管理人员，加强运营安全检查，及时消除事故隐患。</w:t>
      </w:r>
    </w:p>
    <w:p>
      <w:pPr>
        <w:pageBreakBefore w:val="0"/>
        <w:widowControl w:val="0"/>
        <w:kinsoku/>
        <w:wordWrap/>
        <w:overflowPunct/>
        <w:topLinePunct w:val="0"/>
        <w:autoSpaceDE/>
        <w:autoSpaceDN/>
        <w:bidi w:val="0"/>
        <w:adjustRightInd/>
        <w:snapToGrid/>
        <w:spacing w:line="240" w:lineRule="auto"/>
        <w:ind w:left="0" w:lef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仿宋_GB2312" w:hAnsi="仿宋_GB2312" w:eastAsia="仿宋_GB2312" w:cs="仿宋_GB2312"/>
          <w:sz w:val="32"/>
          <w:szCs w:val="32"/>
        </w:rPr>
        <w:t>　城市公共汽车客运经营企业应当在运营车辆和场站醒目位置设置安全警示标志、安全疏散示意图，保证安全通道、出口畅通，保持灭火器、安全锤、车门紧急开启装置等安全应急设施、设备完好。</w:t>
      </w:r>
    </w:p>
    <w:p>
      <w:pPr>
        <w:pageBreakBefore w:val="0"/>
        <w:widowControl w:val="0"/>
        <w:kinsoku/>
        <w:wordWrap/>
        <w:overflowPunct/>
        <w:topLinePunct w:val="0"/>
        <w:autoSpaceDE/>
        <w:autoSpaceDN/>
        <w:bidi w:val="0"/>
        <w:adjustRightInd/>
        <w:snapToGrid/>
        <w:spacing w:line="240" w:lineRule="auto"/>
        <w:ind w:left="0" w:leftChars="0" w:firstLine="640" w:firstLineChars="200"/>
        <w:textAlignment w:val="auto"/>
        <w:rPr>
          <w:rFonts w:hint="eastAsia" w:ascii="仿宋_GB2312" w:hAnsi="仿宋_GB2312" w:eastAsia="仿宋_GB2312" w:cs="仿宋_GB2312"/>
          <w:spacing w:val="-4"/>
          <w:sz w:val="32"/>
          <w:szCs w:val="32"/>
        </w:rPr>
      </w:pPr>
      <w:r>
        <w:rPr>
          <w:rFonts w:hint="eastAsia" w:ascii="仿宋_GB2312" w:hAnsi="仿宋_GB2312" w:eastAsia="仿宋_GB2312" w:cs="仿宋_GB2312"/>
          <w:sz w:val="32"/>
          <w:szCs w:val="32"/>
        </w:rPr>
        <w:t>城市公共汽车客运经营企业应当制定具体应急预案，并定期</w:t>
      </w:r>
      <w:r>
        <w:rPr>
          <w:rFonts w:hint="eastAsia" w:ascii="仿宋_GB2312" w:hAnsi="仿宋_GB2312" w:eastAsia="仿宋_GB2312" w:cs="仿宋_GB2312"/>
          <w:spacing w:val="-4"/>
          <w:sz w:val="32"/>
          <w:szCs w:val="32"/>
        </w:rPr>
        <w:t>进行演练。遇到危及运营安全的紧急情况，应当及时启动应急预案。</w:t>
      </w:r>
    </w:p>
    <w:p>
      <w:pPr>
        <w:pageBreakBefore w:val="0"/>
        <w:widowControl w:val="0"/>
        <w:kinsoku/>
        <w:wordWrap/>
        <w:overflowPunct/>
        <w:topLinePunct w:val="0"/>
        <w:autoSpaceDE/>
        <w:autoSpaceDN/>
        <w:bidi w:val="0"/>
        <w:adjustRightInd/>
        <w:snapToGrid/>
        <w:spacing w:line="240" w:lineRule="auto"/>
        <w:ind w:left="0" w:lef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仿宋_GB2312" w:hAnsi="仿宋_GB2312" w:eastAsia="仿宋_GB2312" w:cs="仿宋_GB2312"/>
          <w:sz w:val="32"/>
          <w:szCs w:val="32"/>
        </w:rPr>
        <w:t>　城市公共汽车客运经营企业应当与从业人员依法订立劳动合同，建立工资收入正常增长机制，依法缴纳社会保险费，保障从业人员法定休息权利。</w:t>
      </w:r>
    </w:p>
    <w:p>
      <w:pPr>
        <w:pageBreakBefore w:val="0"/>
        <w:widowControl w:val="0"/>
        <w:kinsoku/>
        <w:wordWrap/>
        <w:overflowPunct/>
        <w:topLinePunct w:val="0"/>
        <w:autoSpaceDE/>
        <w:autoSpaceDN/>
        <w:bidi w:val="0"/>
        <w:adjustRightInd/>
        <w:snapToGrid/>
        <w:spacing w:line="240" w:lineRule="auto"/>
        <w:ind w:left="0" w:lef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仿宋_GB2312" w:hAnsi="仿宋_GB2312" w:eastAsia="仿宋_GB2312" w:cs="仿宋_GB2312"/>
          <w:sz w:val="32"/>
          <w:szCs w:val="32"/>
        </w:rPr>
        <w:t>　公共汽车驾驶员、乘务员以及其他从业人员应当遵守下列规定：</w:t>
      </w:r>
    </w:p>
    <w:p>
      <w:pPr>
        <w:pageBreakBefore w:val="0"/>
        <w:widowControl w:val="0"/>
        <w:kinsoku/>
        <w:wordWrap/>
        <w:overflowPunct/>
        <w:topLinePunct w:val="0"/>
        <w:autoSpaceDE/>
        <w:autoSpaceDN/>
        <w:bidi w:val="0"/>
        <w:adjustRightInd/>
        <w:snapToGrid/>
        <w:spacing w:line="240" w:lineRule="auto"/>
        <w:ind w:left="0" w:lef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（一）文明驾驶，安全驾驶；</w:t>
      </w:r>
    </w:p>
    <w:p>
      <w:pPr>
        <w:pageBreakBefore w:val="0"/>
        <w:widowControl w:val="0"/>
        <w:kinsoku/>
        <w:wordWrap/>
        <w:overflowPunct/>
        <w:topLinePunct w:val="0"/>
        <w:autoSpaceDE/>
        <w:autoSpaceDN/>
        <w:bidi w:val="0"/>
        <w:adjustRightInd/>
        <w:snapToGrid/>
        <w:spacing w:line="240" w:lineRule="auto"/>
        <w:ind w:left="0" w:lef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（二）按规定携带、佩戴相关证件；</w:t>
      </w:r>
    </w:p>
    <w:p>
      <w:pPr>
        <w:pageBreakBefore w:val="0"/>
        <w:widowControl w:val="0"/>
        <w:kinsoku/>
        <w:wordWrap/>
        <w:overflowPunct/>
        <w:topLinePunct w:val="0"/>
        <w:autoSpaceDE/>
        <w:autoSpaceDN/>
        <w:bidi w:val="0"/>
        <w:adjustRightInd/>
        <w:snapToGrid/>
        <w:spacing w:line="240" w:lineRule="auto"/>
        <w:ind w:left="0" w:lef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（三）按照核定的运营线路、车次、时间发车和运营，依次进站停靠，不得到站不停、滞站揽客、中途甩客，不得在站点外随意停车上下乘客；</w:t>
      </w:r>
    </w:p>
    <w:p>
      <w:pPr>
        <w:pageBreakBefore w:val="0"/>
        <w:widowControl w:val="0"/>
        <w:kinsoku/>
        <w:wordWrap/>
        <w:overflowPunct/>
        <w:topLinePunct w:val="0"/>
        <w:autoSpaceDE/>
        <w:autoSpaceDN/>
        <w:bidi w:val="0"/>
        <w:adjustRightInd/>
        <w:snapToGrid/>
        <w:spacing w:line="240" w:lineRule="auto"/>
        <w:ind w:left="0" w:lef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（四）按照核准的收费标准收费，执行有关优惠或者免费乘车的规定；</w:t>
      </w:r>
    </w:p>
    <w:p>
      <w:pPr>
        <w:pageBreakBefore w:val="0"/>
        <w:widowControl w:val="0"/>
        <w:kinsoku/>
        <w:wordWrap/>
        <w:overflowPunct/>
        <w:topLinePunct w:val="0"/>
        <w:autoSpaceDE/>
        <w:autoSpaceDN/>
        <w:bidi w:val="0"/>
        <w:adjustRightInd/>
        <w:snapToGrid/>
        <w:spacing w:line="240" w:lineRule="auto"/>
        <w:ind w:left="0" w:lef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（五）及时准确报清线路名称、行驶方向和停靠站点名称，提示安全注意事项，为老、幼、病、残、孕乘客提供帮助；</w:t>
      </w:r>
    </w:p>
    <w:p>
      <w:pPr>
        <w:pageBreakBefore w:val="0"/>
        <w:widowControl w:val="0"/>
        <w:kinsoku/>
        <w:wordWrap/>
        <w:overflowPunct/>
        <w:topLinePunct w:val="0"/>
        <w:autoSpaceDE/>
        <w:autoSpaceDN/>
        <w:bidi w:val="0"/>
        <w:adjustRightInd/>
        <w:snapToGrid/>
        <w:spacing w:line="240" w:lineRule="auto"/>
        <w:ind w:left="0" w:lef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（六）及时采取措施，处置突发情况；</w:t>
      </w:r>
    </w:p>
    <w:p>
      <w:pPr>
        <w:pageBreakBefore w:val="0"/>
        <w:widowControl w:val="0"/>
        <w:kinsoku/>
        <w:wordWrap/>
        <w:overflowPunct/>
        <w:topLinePunct w:val="0"/>
        <w:autoSpaceDE/>
        <w:autoSpaceDN/>
        <w:bidi w:val="0"/>
        <w:adjustRightInd/>
        <w:snapToGrid/>
        <w:spacing w:line="240" w:lineRule="auto"/>
        <w:ind w:left="0" w:lef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（七）国家和省制定的城市公共汽车客运其他服务规范。</w:t>
      </w:r>
    </w:p>
    <w:p>
      <w:pPr>
        <w:pageBreakBefore w:val="0"/>
        <w:widowControl w:val="0"/>
        <w:kinsoku/>
        <w:wordWrap/>
        <w:overflowPunct/>
        <w:topLinePunct w:val="0"/>
        <w:autoSpaceDE/>
        <w:autoSpaceDN/>
        <w:bidi w:val="0"/>
        <w:adjustRightInd/>
        <w:snapToGrid/>
        <w:spacing w:line="240" w:lineRule="auto"/>
        <w:ind w:left="0" w:lef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仿宋_GB2312" w:hAnsi="仿宋_GB2312" w:eastAsia="仿宋_GB2312" w:cs="仿宋_GB2312"/>
          <w:sz w:val="32"/>
          <w:szCs w:val="32"/>
        </w:rPr>
        <w:t>　乘客应当遵守下列规定：</w:t>
      </w:r>
    </w:p>
    <w:p>
      <w:pPr>
        <w:pageBreakBefore w:val="0"/>
        <w:widowControl w:val="0"/>
        <w:kinsoku/>
        <w:wordWrap/>
        <w:overflowPunct/>
        <w:topLinePunct w:val="0"/>
        <w:autoSpaceDE/>
        <w:autoSpaceDN/>
        <w:bidi w:val="0"/>
        <w:adjustRightInd/>
        <w:snapToGrid/>
        <w:spacing w:line="240" w:lineRule="auto"/>
        <w:ind w:left="0" w:lef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（一）按秩序乘车；</w:t>
      </w:r>
    </w:p>
    <w:p>
      <w:pPr>
        <w:pageBreakBefore w:val="0"/>
        <w:widowControl w:val="0"/>
        <w:kinsoku/>
        <w:wordWrap/>
        <w:overflowPunct/>
        <w:topLinePunct w:val="0"/>
        <w:autoSpaceDE/>
        <w:autoSpaceDN/>
        <w:bidi w:val="0"/>
        <w:adjustRightInd/>
        <w:snapToGrid/>
        <w:spacing w:line="240" w:lineRule="auto"/>
        <w:ind w:left="0" w:lef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（二）上车主动购票、投币、刷卡或者出示有效乘车凭证；</w:t>
      </w:r>
    </w:p>
    <w:p>
      <w:pPr>
        <w:pageBreakBefore w:val="0"/>
        <w:widowControl w:val="0"/>
        <w:kinsoku/>
        <w:wordWrap/>
        <w:overflowPunct/>
        <w:topLinePunct w:val="0"/>
        <w:autoSpaceDE/>
        <w:autoSpaceDN/>
        <w:bidi w:val="0"/>
        <w:adjustRightInd/>
        <w:snapToGrid/>
        <w:spacing w:line="240" w:lineRule="auto"/>
        <w:ind w:left="0" w:lef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（三）学龄前儿童乘车应当有父母或者其他有监护能力的成年人监护；</w:t>
      </w:r>
    </w:p>
    <w:p>
      <w:pPr>
        <w:pageBreakBefore w:val="0"/>
        <w:widowControl w:val="0"/>
        <w:kinsoku/>
        <w:wordWrap/>
        <w:overflowPunct/>
        <w:topLinePunct w:val="0"/>
        <w:autoSpaceDE/>
        <w:autoSpaceDN/>
        <w:bidi w:val="0"/>
        <w:adjustRightInd/>
        <w:snapToGrid/>
        <w:spacing w:line="240" w:lineRule="auto"/>
        <w:ind w:left="0" w:lef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（四）不得携带易燃、易爆、有毒等危险品或者有放射性等有碍他人安全、健康的物品乘车；</w:t>
      </w:r>
    </w:p>
    <w:p>
      <w:pPr>
        <w:pageBreakBefore w:val="0"/>
        <w:widowControl w:val="0"/>
        <w:kinsoku/>
        <w:wordWrap/>
        <w:overflowPunct/>
        <w:topLinePunct w:val="0"/>
        <w:autoSpaceDE/>
        <w:autoSpaceDN/>
        <w:bidi w:val="0"/>
        <w:adjustRightInd/>
        <w:snapToGrid/>
        <w:spacing w:line="240" w:lineRule="auto"/>
        <w:ind w:left="0" w:lef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（五）不得携带犬、猫等动物乘车，但导盲犬除外；</w:t>
      </w:r>
    </w:p>
    <w:p>
      <w:pPr>
        <w:pageBreakBefore w:val="0"/>
        <w:widowControl w:val="0"/>
        <w:kinsoku/>
        <w:wordWrap/>
        <w:overflowPunct/>
        <w:topLinePunct w:val="0"/>
        <w:autoSpaceDE/>
        <w:autoSpaceDN/>
        <w:bidi w:val="0"/>
        <w:adjustRightInd/>
        <w:snapToGrid/>
        <w:spacing w:line="240" w:lineRule="auto"/>
        <w:ind w:left="0" w:leftChars="0" w:right="-2" w:rightChars="-1" w:firstLine="640" w:firstLineChars="200"/>
        <w:textAlignment w:val="auto"/>
        <w:rPr>
          <w:rFonts w:hint="eastAsia" w:ascii="仿宋_GB2312" w:hAnsi="仿宋_GB2312" w:eastAsia="仿宋_GB2312" w:cs="仿宋_GB2312"/>
          <w:spacing w:val="4"/>
          <w:sz w:val="32"/>
          <w:szCs w:val="32"/>
        </w:rPr>
      </w:pPr>
      <w:r>
        <w:rPr>
          <w:rFonts w:hint="eastAsia" w:ascii="仿宋_GB2312" w:hAnsi="仿宋_GB2312" w:eastAsia="仿宋_GB2312" w:cs="仿宋_GB2312"/>
          <w:sz w:val="32"/>
          <w:szCs w:val="32"/>
        </w:rPr>
        <w:t>（六）</w:t>
      </w:r>
      <w:r>
        <w:rPr>
          <w:rFonts w:hint="eastAsia" w:ascii="仿宋_GB2312" w:hAnsi="仿宋_GB2312" w:eastAsia="仿宋_GB2312" w:cs="仿宋_GB2312"/>
          <w:spacing w:val="4"/>
          <w:sz w:val="32"/>
          <w:szCs w:val="32"/>
        </w:rPr>
        <w:t>不得在车厢内吸烟、随地吐痰，不得向车外抛扔废弃物；</w:t>
      </w:r>
    </w:p>
    <w:p>
      <w:pPr>
        <w:pageBreakBefore w:val="0"/>
        <w:widowControl w:val="0"/>
        <w:kinsoku/>
        <w:wordWrap/>
        <w:overflowPunct/>
        <w:topLinePunct w:val="0"/>
        <w:autoSpaceDE/>
        <w:autoSpaceDN/>
        <w:bidi w:val="0"/>
        <w:adjustRightInd/>
        <w:snapToGrid/>
        <w:spacing w:line="240" w:lineRule="auto"/>
        <w:ind w:left="0" w:lef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（七）听从驾驶员、乘务员的管理；</w:t>
      </w:r>
    </w:p>
    <w:p>
      <w:pPr>
        <w:pageBreakBefore w:val="0"/>
        <w:widowControl w:val="0"/>
        <w:kinsoku/>
        <w:wordWrap/>
        <w:overflowPunct/>
        <w:topLinePunct w:val="0"/>
        <w:autoSpaceDE/>
        <w:autoSpaceDN/>
        <w:bidi w:val="0"/>
        <w:adjustRightInd/>
        <w:snapToGrid/>
        <w:spacing w:line="240" w:lineRule="auto"/>
        <w:ind w:left="0" w:lef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（八）不得实施可能影响车辆正常运营、行驶安全、乘客安全的行为。</w:t>
      </w:r>
    </w:p>
    <w:p>
      <w:pPr>
        <w:pageBreakBefore w:val="0"/>
        <w:widowControl w:val="0"/>
        <w:kinsoku/>
        <w:wordWrap/>
        <w:overflowPunct/>
        <w:topLinePunct w:val="0"/>
        <w:autoSpaceDE/>
        <w:autoSpaceDN/>
        <w:bidi w:val="0"/>
        <w:adjustRightInd/>
        <w:snapToGrid/>
        <w:spacing w:line="240" w:lineRule="auto"/>
        <w:ind w:left="0" w:leftChars="0" w:firstLine="640" w:firstLineChars="200"/>
        <w:textAlignment w:val="auto"/>
        <w:rPr>
          <w:rFonts w:hint="eastAsia" w:ascii="仿宋_GB2312" w:hAnsi="仿宋_GB2312" w:eastAsia="仿宋_GB2312" w:cs="仿宋_GB2312"/>
          <w:sz w:val="32"/>
          <w:szCs w:val="32"/>
        </w:rPr>
      </w:pPr>
    </w:p>
    <w:p>
      <w:pPr>
        <w:pageBreakBefore w:val="0"/>
        <w:widowControl w:val="0"/>
        <w:kinsoku/>
        <w:wordWrap/>
        <w:overflowPunct/>
        <w:topLinePunct w:val="0"/>
        <w:autoSpaceDE/>
        <w:autoSpaceDN/>
        <w:bidi w:val="0"/>
        <w:adjustRightInd/>
        <w:snapToGrid/>
        <w:spacing w:line="240" w:lineRule="auto"/>
        <w:ind w:left="0" w:leftChars="0"/>
        <w:jc w:val="center"/>
        <w:textAlignment w:val="auto"/>
        <w:rPr>
          <w:rFonts w:hint="eastAsia" w:ascii="黑体" w:hAnsi="黑体" w:eastAsia="黑体" w:cs="黑体"/>
          <w:sz w:val="32"/>
          <w:szCs w:val="32"/>
        </w:rPr>
      </w:pPr>
      <w:r>
        <w:rPr>
          <w:rFonts w:hint="eastAsia" w:ascii="黑体" w:hAnsi="黑体" w:eastAsia="黑体" w:cs="黑体"/>
          <w:sz w:val="32"/>
          <w:szCs w:val="32"/>
        </w:rPr>
        <w:t>第五章　保障与监督</w:t>
      </w:r>
    </w:p>
    <w:p>
      <w:pPr>
        <w:pageBreakBefore w:val="0"/>
        <w:widowControl w:val="0"/>
        <w:kinsoku/>
        <w:wordWrap/>
        <w:overflowPunct/>
        <w:topLinePunct w:val="0"/>
        <w:autoSpaceDE/>
        <w:autoSpaceDN/>
        <w:bidi w:val="0"/>
        <w:adjustRightInd/>
        <w:snapToGrid/>
        <w:spacing w:line="240" w:lineRule="auto"/>
        <w:ind w:left="0" w:leftChars="0" w:firstLine="640" w:firstLineChars="200"/>
        <w:textAlignment w:val="auto"/>
        <w:rPr>
          <w:rFonts w:hint="eastAsia" w:ascii="仿宋_GB2312" w:hAnsi="仿宋_GB2312" w:eastAsia="仿宋_GB2312" w:cs="仿宋_GB2312"/>
          <w:sz w:val="32"/>
          <w:szCs w:val="32"/>
        </w:rPr>
      </w:pPr>
    </w:p>
    <w:p>
      <w:pPr>
        <w:pageBreakBefore w:val="0"/>
        <w:widowControl w:val="0"/>
        <w:kinsoku/>
        <w:wordWrap/>
        <w:overflowPunct/>
        <w:topLinePunct w:val="0"/>
        <w:autoSpaceDE/>
        <w:autoSpaceDN/>
        <w:bidi w:val="0"/>
        <w:adjustRightInd/>
        <w:snapToGrid/>
        <w:spacing w:line="240" w:lineRule="auto"/>
        <w:ind w:left="0" w:lef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第二十八条　</w:t>
      </w:r>
      <w:r>
        <w:rPr>
          <w:rFonts w:hint="eastAsia" w:ascii="仿宋_GB2312" w:hAnsi="仿宋_GB2312" w:eastAsia="仿宋_GB2312" w:cs="仿宋_GB2312"/>
          <w:sz w:val="32"/>
          <w:szCs w:val="32"/>
        </w:rPr>
        <w:t>县级以上人民政府应当推进信息技术在城市公共汽车客运运营管理、服务监督和行业管理等方面的应用，建设公众出行信息服务系统、车辆运营调度管理系统、安全监控系统和应急处置系统，完善城市公共汽车客运移动支付体系，促进智能公交发展。</w:t>
      </w:r>
    </w:p>
    <w:p>
      <w:pPr>
        <w:pageBreakBefore w:val="0"/>
        <w:widowControl w:val="0"/>
        <w:kinsoku/>
        <w:wordWrap/>
        <w:overflowPunct/>
        <w:topLinePunct w:val="0"/>
        <w:autoSpaceDE/>
        <w:autoSpaceDN/>
        <w:bidi w:val="0"/>
        <w:adjustRightInd/>
        <w:snapToGrid/>
        <w:spacing w:line="240" w:lineRule="auto"/>
        <w:ind w:left="0" w:lef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第二十九条　</w:t>
      </w:r>
      <w:r>
        <w:rPr>
          <w:rFonts w:hint="eastAsia" w:ascii="仿宋_GB2312" w:hAnsi="仿宋_GB2312" w:eastAsia="仿宋_GB2312" w:cs="仿宋_GB2312"/>
          <w:sz w:val="32"/>
          <w:szCs w:val="32"/>
        </w:rPr>
        <w:t>县级以上人民政府应当增加投入，发展低碳、高效、大容量的城市公共汽车客运交通，支持和鼓励城市公共汽车客运经营企业使用新能源汽车，推动新能源汽车规模化应用和新能源供给设施建设，淘汰不符合排放标准的老旧车辆。</w:t>
      </w:r>
    </w:p>
    <w:p>
      <w:pPr>
        <w:pageBreakBefore w:val="0"/>
        <w:widowControl w:val="0"/>
        <w:kinsoku/>
        <w:wordWrap/>
        <w:overflowPunct/>
        <w:topLinePunct w:val="0"/>
        <w:autoSpaceDE/>
        <w:autoSpaceDN/>
        <w:bidi w:val="0"/>
        <w:adjustRightInd/>
        <w:snapToGrid/>
        <w:spacing w:line="240" w:lineRule="auto"/>
        <w:ind w:left="0" w:lef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第三十条　</w:t>
      </w:r>
      <w:r>
        <w:rPr>
          <w:rFonts w:hint="eastAsia" w:ascii="仿宋_GB2312" w:hAnsi="仿宋_GB2312" w:eastAsia="仿宋_GB2312" w:cs="仿宋_GB2312"/>
          <w:sz w:val="32"/>
          <w:szCs w:val="32"/>
        </w:rPr>
        <w:t>设区的市、县级人民政府应当组织交通运输、财政、价格等有关部门建立城市公共汽车客运经营企业成本评估制度，合理界定城市公共汽车客运补贴范围和补贴额度。</w:t>
      </w:r>
    </w:p>
    <w:p>
      <w:pPr>
        <w:pageBreakBefore w:val="0"/>
        <w:widowControl w:val="0"/>
        <w:kinsoku/>
        <w:wordWrap/>
        <w:overflowPunct/>
        <w:topLinePunct w:val="0"/>
        <w:autoSpaceDE/>
        <w:autoSpaceDN/>
        <w:bidi w:val="0"/>
        <w:adjustRightInd/>
        <w:snapToGrid/>
        <w:spacing w:line="240" w:lineRule="auto"/>
        <w:ind w:left="0" w:lef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设区的市、县级人民政府对城市公共汽车客运经营企业实行低于成本的票价、减免票、承担政府指令性任务等形成的政策性亏损，应当足额补贴；对城市公共汽车客运经营企业在车辆购置、技术改造、节能减排、经营冷僻线路等方面的投入，应当给予适当补贴。具体办法由设区的市、县级人民政府制定。</w:t>
      </w:r>
    </w:p>
    <w:p>
      <w:pPr>
        <w:pageBreakBefore w:val="0"/>
        <w:widowControl w:val="0"/>
        <w:kinsoku/>
        <w:wordWrap/>
        <w:overflowPunct/>
        <w:topLinePunct w:val="0"/>
        <w:autoSpaceDE/>
        <w:autoSpaceDN/>
        <w:bidi w:val="0"/>
        <w:adjustRightInd/>
        <w:snapToGrid/>
        <w:spacing w:line="240" w:lineRule="auto"/>
        <w:ind w:left="0" w:lef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审计机关应当依法加强对城市公共汽车客运补贴资金使用的监督，并定期公布审计结果。</w:t>
      </w:r>
    </w:p>
    <w:p>
      <w:pPr>
        <w:pageBreakBefore w:val="0"/>
        <w:widowControl w:val="0"/>
        <w:kinsoku/>
        <w:wordWrap/>
        <w:overflowPunct/>
        <w:topLinePunct w:val="0"/>
        <w:autoSpaceDE/>
        <w:autoSpaceDN/>
        <w:bidi w:val="0"/>
        <w:adjustRightInd/>
        <w:snapToGrid/>
        <w:spacing w:line="240" w:lineRule="auto"/>
        <w:ind w:left="0" w:lef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第三十一条</w:t>
      </w:r>
      <w:r>
        <w:rPr>
          <w:rFonts w:hint="eastAsia" w:ascii="仿宋_GB2312" w:hAnsi="仿宋_GB2312" w:eastAsia="仿宋_GB2312" w:cs="仿宋_GB2312"/>
          <w:sz w:val="32"/>
          <w:szCs w:val="32"/>
        </w:rPr>
        <w:t>　县级以上人民政府应当建立城市公共汽车客运发展水平绩效评价制度，定期开展评价，评价结果应当向社会公布。</w:t>
      </w:r>
    </w:p>
    <w:p>
      <w:pPr>
        <w:pageBreakBefore w:val="0"/>
        <w:widowControl w:val="0"/>
        <w:kinsoku/>
        <w:wordWrap/>
        <w:overflowPunct/>
        <w:topLinePunct w:val="0"/>
        <w:autoSpaceDE/>
        <w:autoSpaceDN/>
        <w:bidi w:val="0"/>
        <w:adjustRightInd/>
        <w:snapToGrid/>
        <w:spacing w:line="240" w:lineRule="auto"/>
        <w:ind w:left="0" w:lef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上级人民政府应当将评价结果纳入对本级人民政府负有公共交通管理职责的相关部门及其负责人和下级人民政府及其负责人的考核内容。</w:t>
      </w:r>
    </w:p>
    <w:p>
      <w:pPr>
        <w:pageBreakBefore w:val="0"/>
        <w:widowControl w:val="0"/>
        <w:kinsoku/>
        <w:wordWrap/>
        <w:overflowPunct/>
        <w:topLinePunct w:val="0"/>
        <w:autoSpaceDE/>
        <w:autoSpaceDN/>
        <w:bidi w:val="0"/>
        <w:adjustRightInd/>
        <w:snapToGrid/>
        <w:spacing w:line="240" w:lineRule="auto"/>
        <w:ind w:left="0" w:lef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第三十二条　</w:t>
      </w:r>
      <w:r>
        <w:rPr>
          <w:rFonts w:hint="eastAsia" w:ascii="仿宋_GB2312" w:hAnsi="仿宋_GB2312" w:eastAsia="仿宋_GB2312" w:cs="仿宋_GB2312"/>
          <w:sz w:val="32"/>
          <w:szCs w:val="32"/>
        </w:rPr>
        <w:t>设区的市、县级人民政府应当加强对城市公共汽车客运安全管理工作的领导，督促有关部门履行安全监督管理职责，及时协调、解决安全监督管理中的重大问题。</w:t>
      </w:r>
    </w:p>
    <w:p>
      <w:pPr>
        <w:pageBreakBefore w:val="0"/>
        <w:widowControl w:val="0"/>
        <w:kinsoku/>
        <w:wordWrap/>
        <w:overflowPunct/>
        <w:topLinePunct w:val="0"/>
        <w:autoSpaceDE/>
        <w:autoSpaceDN/>
        <w:bidi w:val="0"/>
        <w:adjustRightInd/>
        <w:snapToGrid/>
        <w:spacing w:line="240" w:lineRule="auto"/>
        <w:ind w:left="0" w:lef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设区的市、县级人民政府交通运输行政主管部门应当定期开展安全检查，督促企业消除安全隐患。</w:t>
      </w:r>
    </w:p>
    <w:p>
      <w:pPr>
        <w:pageBreakBefore w:val="0"/>
        <w:widowControl w:val="0"/>
        <w:kinsoku/>
        <w:wordWrap/>
        <w:overflowPunct/>
        <w:topLinePunct w:val="0"/>
        <w:autoSpaceDE/>
        <w:autoSpaceDN/>
        <w:bidi w:val="0"/>
        <w:adjustRightInd/>
        <w:snapToGrid/>
        <w:spacing w:line="240" w:lineRule="auto"/>
        <w:ind w:left="0" w:lef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第三十三条　</w:t>
      </w:r>
      <w:r>
        <w:rPr>
          <w:rFonts w:hint="eastAsia" w:ascii="仿宋_GB2312" w:hAnsi="仿宋_GB2312" w:eastAsia="仿宋_GB2312" w:cs="仿宋_GB2312"/>
          <w:sz w:val="32"/>
          <w:szCs w:val="32"/>
        </w:rPr>
        <w:t>设区的市、县级人民政府交通运输行政主管部门应当会同有关部门制定城市公共汽车客运突发事件应急预案，报本级人民政府批准。</w:t>
      </w:r>
    </w:p>
    <w:p>
      <w:pPr>
        <w:pageBreakBefore w:val="0"/>
        <w:widowControl w:val="0"/>
        <w:kinsoku/>
        <w:wordWrap/>
        <w:overflowPunct/>
        <w:topLinePunct w:val="0"/>
        <w:autoSpaceDE/>
        <w:autoSpaceDN/>
        <w:bidi w:val="0"/>
        <w:adjustRightInd/>
        <w:snapToGrid/>
        <w:spacing w:line="240" w:lineRule="auto"/>
        <w:ind w:left="0" w:lef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城市公共汽车客运突发事件发生后，交通运输等部门和城市公共汽车客运经营企业应当立即启动应急预案，采取应对措施。</w:t>
      </w:r>
    </w:p>
    <w:p>
      <w:pPr>
        <w:pageBreakBefore w:val="0"/>
        <w:widowControl w:val="0"/>
        <w:kinsoku/>
        <w:wordWrap/>
        <w:overflowPunct/>
        <w:topLinePunct w:val="0"/>
        <w:autoSpaceDE/>
        <w:autoSpaceDN/>
        <w:bidi w:val="0"/>
        <w:adjustRightInd/>
        <w:snapToGrid/>
        <w:spacing w:line="240" w:lineRule="auto"/>
        <w:ind w:left="0" w:lef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第三十四条　</w:t>
      </w:r>
      <w:r>
        <w:rPr>
          <w:rFonts w:hint="eastAsia" w:ascii="仿宋_GB2312" w:hAnsi="仿宋_GB2312" w:eastAsia="仿宋_GB2312" w:cs="仿宋_GB2312"/>
          <w:sz w:val="32"/>
          <w:szCs w:val="32"/>
        </w:rPr>
        <w:t>公安、交通运输等部门以及公共客运经营者应当加强安全乘车和安全应急知识宣传工作，普及公共客运安全应急知识；学校应当对学生开展安全、文明乘车教育。</w:t>
      </w:r>
    </w:p>
    <w:p>
      <w:pPr>
        <w:pageBreakBefore w:val="0"/>
        <w:widowControl w:val="0"/>
        <w:kinsoku/>
        <w:wordWrap/>
        <w:overflowPunct/>
        <w:topLinePunct w:val="0"/>
        <w:autoSpaceDE/>
        <w:autoSpaceDN/>
        <w:bidi w:val="0"/>
        <w:adjustRightInd/>
        <w:snapToGrid/>
        <w:spacing w:line="240" w:lineRule="auto"/>
        <w:ind w:left="0" w:lef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第三十五条　</w:t>
      </w:r>
      <w:r>
        <w:rPr>
          <w:rFonts w:hint="eastAsia" w:ascii="仿宋_GB2312" w:hAnsi="仿宋_GB2312" w:eastAsia="仿宋_GB2312" w:cs="仿宋_GB2312"/>
          <w:sz w:val="32"/>
          <w:szCs w:val="32"/>
        </w:rPr>
        <w:t>道路运输管理机构应当建立健全监督检查制度，依法加强对城市公共汽车客运运营服务的监督检查。</w:t>
      </w:r>
    </w:p>
    <w:p>
      <w:pPr>
        <w:pageBreakBefore w:val="0"/>
        <w:widowControl w:val="0"/>
        <w:kinsoku/>
        <w:wordWrap/>
        <w:overflowPunct/>
        <w:topLinePunct w:val="0"/>
        <w:autoSpaceDE/>
        <w:autoSpaceDN/>
        <w:bidi w:val="0"/>
        <w:adjustRightInd/>
        <w:snapToGrid/>
        <w:spacing w:line="240" w:lineRule="auto"/>
        <w:ind w:left="0" w:lef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第三十六条　</w:t>
      </w:r>
      <w:r>
        <w:rPr>
          <w:rFonts w:hint="eastAsia" w:ascii="仿宋_GB2312" w:hAnsi="仿宋_GB2312" w:eastAsia="仿宋_GB2312" w:cs="仿宋_GB2312"/>
          <w:sz w:val="32"/>
          <w:szCs w:val="32"/>
        </w:rPr>
        <w:t>道路运输管理机构应当建立城市公共汽车客运经营企业服务质量考核制度，并定期组织实施。考核结果应当作为发放政府补贴、城市公共汽车客运经营权延续与退出的重要依据。</w:t>
      </w:r>
    </w:p>
    <w:p>
      <w:pPr>
        <w:pageBreakBefore w:val="0"/>
        <w:widowControl w:val="0"/>
        <w:kinsoku/>
        <w:wordWrap/>
        <w:overflowPunct/>
        <w:topLinePunct w:val="0"/>
        <w:autoSpaceDE/>
        <w:autoSpaceDN/>
        <w:bidi w:val="0"/>
        <w:adjustRightInd/>
        <w:snapToGrid/>
        <w:spacing w:line="240" w:lineRule="auto"/>
        <w:ind w:left="0" w:lef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第三十七条　</w:t>
      </w:r>
      <w:r>
        <w:rPr>
          <w:rFonts w:hint="eastAsia" w:ascii="仿宋_GB2312" w:hAnsi="仿宋_GB2312" w:eastAsia="仿宋_GB2312" w:cs="仿宋_GB2312"/>
          <w:sz w:val="32"/>
          <w:szCs w:val="32"/>
        </w:rPr>
        <w:t>道路运输管理机构应当建立城市公共汽车客运运营服务投诉举报制度，公布投诉举报电话、通讯地址和电子邮件信箱。</w:t>
      </w:r>
    </w:p>
    <w:p>
      <w:pPr>
        <w:pageBreakBefore w:val="0"/>
        <w:widowControl w:val="0"/>
        <w:kinsoku/>
        <w:wordWrap/>
        <w:overflowPunct/>
        <w:topLinePunct w:val="0"/>
        <w:autoSpaceDE/>
        <w:autoSpaceDN/>
        <w:bidi w:val="0"/>
        <w:adjustRightInd/>
        <w:snapToGrid/>
        <w:spacing w:line="240" w:lineRule="auto"/>
        <w:ind w:left="0" w:lef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乘客对城市公共汽车客运经营企业、驾驶员和乘务员违反本条例规定的行为，有权向道路运输管理机构投诉。道路运输管理机构应当自接到投诉之日起十日内进行调查处理，并将调查处理情况答复投诉人。</w:t>
      </w:r>
    </w:p>
    <w:p>
      <w:pPr>
        <w:pageBreakBefore w:val="0"/>
        <w:widowControl w:val="0"/>
        <w:kinsoku/>
        <w:wordWrap/>
        <w:overflowPunct/>
        <w:topLinePunct w:val="0"/>
        <w:autoSpaceDE/>
        <w:autoSpaceDN/>
        <w:bidi w:val="0"/>
        <w:adjustRightInd/>
        <w:snapToGrid/>
        <w:spacing w:line="240" w:lineRule="auto"/>
        <w:ind w:left="0" w:leftChars="0" w:firstLine="640" w:firstLineChars="200"/>
        <w:textAlignment w:val="auto"/>
        <w:rPr>
          <w:rFonts w:hint="eastAsia" w:ascii="仿宋_GB2312" w:hAnsi="仿宋_GB2312" w:eastAsia="仿宋_GB2312" w:cs="仿宋_GB2312"/>
          <w:sz w:val="32"/>
          <w:szCs w:val="32"/>
        </w:rPr>
      </w:pPr>
    </w:p>
    <w:p>
      <w:pPr>
        <w:pageBreakBefore w:val="0"/>
        <w:widowControl w:val="0"/>
        <w:kinsoku/>
        <w:wordWrap/>
        <w:overflowPunct/>
        <w:topLinePunct w:val="0"/>
        <w:autoSpaceDE/>
        <w:autoSpaceDN/>
        <w:bidi w:val="0"/>
        <w:adjustRightInd/>
        <w:snapToGrid/>
        <w:spacing w:line="240" w:lineRule="auto"/>
        <w:ind w:left="0" w:leftChars="0"/>
        <w:jc w:val="center"/>
        <w:textAlignment w:val="auto"/>
        <w:rPr>
          <w:rFonts w:hint="eastAsia" w:ascii="黑体" w:hAnsi="黑体" w:eastAsia="黑体" w:cs="黑体"/>
          <w:sz w:val="32"/>
          <w:szCs w:val="32"/>
        </w:rPr>
      </w:pPr>
      <w:r>
        <w:rPr>
          <w:rFonts w:hint="eastAsia" w:ascii="黑体" w:hAnsi="黑体" w:eastAsia="黑体" w:cs="黑体"/>
          <w:sz w:val="32"/>
          <w:szCs w:val="32"/>
        </w:rPr>
        <w:t>第六章　法律责任</w:t>
      </w:r>
    </w:p>
    <w:p>
      <w:pPr>
        <w:pageBreakBefore w:val="0"/>
        <w:widowControl w:val="0"/>
        <w:kinsoku/>
        <w:wordWrap/>
        <w:overflowPunct/>
        <w:topLinePunct w:val="0"/>
        <w:autoSpaceDE/>
        <w:autoSpaceDN/>
        <w:bidi w:val="0"/>
        <w:adjustRightInd/>
        <w:snapToGrid/>
        <w:spacing w:line="240" w:lineRule="auto"/>
        <w:ind w:left="0" w:leftChars="0" w:firstLine="640" w:firstLineChars="200"/>
        <w:textAlignment w:val="auto"/>
        <w:rPr>
          <w:rFonts w:hint="eastAsia" w:ascii="仿宋_GB2312" w:hAnsi="仿宋_GB2312" w:eastAsia="仿宋_GB2312" w:cs="仿宋_GB2312"/>
          <w:sz w:val="32"/>
          <w:szCs w:val="32"/>
        </w:rPr>
      </w:pPr>
    </w:p>
    <w:p>
      <w:pPr>
        <w:pageBreakBefore w:val="0"/>
        <w:widowControl w:val="0"/>
        <w:kinsoku/>
        <w:wordWrap/>
        <w:overflowPunct/>
        <w:topLinePunct w:val="0"/>
        <w:autoSpaceDE/>
        <w:autoSpaceDN/>
        <w:bidi w:val="0"/>
        <w:adjustRightInd/>
        <w:snapToGrid/>
        <w:spacing w:line="240" w:lineRule="auto"/>
        <w:ind w:left="0" w:leftChars="0" w:firstLine="640" w:firstLineChars="200"/>
        <w:textAlignment w:val="auto"/>
        <w:rPr>
          <w:rFonts w:hint="eastAsia" w:ascii="仿宋_GB2312" w:hAnsi="仿宋_GB2312" w:eastAsia="仿宋_GB2312" w:cs="仿宋_GB2312"/>
          <w:spacing w:val="-4"/>
          <w:sz w:val="32"/>
          <w:szCs w:val="32"/>
        </w:rPr>
      </w:pPr>
      <w:r>
        <w:rPr>
          <w:rFonts w:hint="eastAsia" w:ascii="黑体" w:hAnsi="黑体" w:eastAsia="黑体" w:cs="黑体"/>
          <w:sz w:val="32"/>
          <w:szCs w:val="32"/>
        </w:rPr>
        <w:t>第三十八条</w:t>
      </w:r>
      <w:r>
        <w:rPr>
          <w:rFonts w:hint="eastAsia" w:ascii="仿宋_GB2312" w:hAnsi="仿宋_GB2312" w:eastAsia="仿宋_GB2312" w:cs="仿宋_GB2312"/>
          <w:sz w:val="32"/>
          <w:szCs w:val="32"/>
        </w:rPr>
        <w:t>　违反本条例第八条第一款、第十条第三款规</w:t>
      </w:r>
      <w:r>
        <w:rPr>
          <w:rFonts w:hint="eastAsia" w:ascii="仿宋_GB2312" w:hAnsi="仿宋_GB2312" w:eastAsia="仿宋_GB2312" w:cs="仿宋_GB2312"/>
          <w:spacing w:val="-4"/>
          <w:sz w:val="32"/>
          <w:szCs w:val="32"/>
        </w:rPr>
        <w:t>定，占用公共汽车专用道，或者在公共汽车站点及距离站点三十米以内的路段停靠其他车辆的，由公安机关交通管理部门依法处罚。</w:t>
      </w:r>
    </w:p>
    <w:p>
      <w:pPr>
        <w:pageBreakBefore w:val="0"/>
        <w:widowControl w:val="0"/>
        <w:kinsoku/>
        <w:wordWrap/>
        <w:overflowPunct/>
        <w:topLinePunct w:val="0"/>
        <w:autoSpaceDE/>
        <w:autoSpaceDN/>
        <w:bidi w:val="0"/>
        <w:adjustRightInd/>
        <w:snapToGrid/>
        <w:spacing w:line="240" w:lineRule="auto"/>
        <w:ind w:left="0" w:lef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违反本条例第十条第二款规定，擅自占用、移动、拆除城市公共汽车客运服务设施，或者经同意占用、移动、拆除城市公共汽车客运服务设施未及时恢复重建的，由道路运输管理机构责令限期改正，对单位处一千元以上五千元以下罚款，对个人处五百元以上一千元以下罚款。</w:t>
      </w:r>
    </w:p>
    <w:p>
      <w:pPr>
        <w:pageBreakBefore w:val="0"/>
        <w:widowControl w:val="0"/>
        <w:kinsoku/>
        <w:wordWrap/>
        <w:overflowPunct/>
        <w:topLinePunct w:val="0"/>
        <w:autoSpaceDE/>
        <w:autoSpaceDN/>
        <w:bidi w:val="0"/>
        <w:adjustRightInd/>
        <w:snapToGrid/>
        <w:spacing w:line="240" w:lineRule="auto"/>
        <w:ind w:left="0" w:lef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违反本条例第十条第三款规定，污损、涂改、覆盖城市公共汽车客运服务标志、设施，或者摆摊设点、堆积物品妨碍公共汽车站点使用的，由市容环境卫生管理部门依法处罚。</w:t>
      </w:r>
    </w:p>
    <w:p>
      <w:pPr>
        <w:pageBreakBefore w:val="0"/>
        <w:widowControl w:val="0"/>
        <w:kinsoku/>
        <w:wordWrap/>
        <w:overflowPunct/>
        <w:topLinePunct w:val="0"/>
        <w:autoSpaceDE/>
        <w:autoSpaceDN/>
        <w:bidi w:val="0"/>
        <w:adjustRightInd/>
        <w:snapToGrid/>
        <w:spacing w:line="240" w:lineRule="auto"/>
        <w:ind w:left="0" w:lef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第三十九条　</w:t>
      </w:r>
      <w:r>
        <w:rPr>
          <w:rFonts w:hint="eastAsia" w:ascii="仿宋_GB2312" w:hAnsi="仿宋_GB2312" w:eastAsia="仿宋_GB2312" w:cs="仿宋_GB2312"/>
          <w:sz w:val="32"/>
          <w:szCs w:val="32"/>
        </w:rPr>
        <w:t>违反本条例第十五条第一款、第三款、第十八条、第二十二条第七项规定，城市公共汽车客运经营企业有下列行为之一的，由道路运输管理机构责令限期改正，处一万元以上三万元以下罚款；有违法所得的，没收违法所得：</w:t>
      </w:r>
    </w:p>
    <w:p>
      <w:pPr>
        <w:pageBreakBefore w:val="0"/>
        <w:widowControl w:val="0"/>
        <w:kinsoku/>
        <w:wordWrap/>
        <w:overflowPunct/>
        <w:topLinePunct w:val="0"/>
        <w:autoSpaceDE/>
        <w:autoSpaceDN/>
        <w:bidi w:val="0"/>
        <w:adjustRightInd/>
        <w:snapToGrid/>
        <w:spacing w:line="240" w:lineRule="auto"/>
        <w:ind w:left="0" w:lef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（一）未取得城市公共汽车客运经营权擅自从事运营的；</w:t>
      </w:r>
    </w:p>
    <w:p>
      <w:pPr>
        <w:pageBreakBefore w:val="0"/>
        <w:widowControl w:val="0"/>
        <w:kinsoku/>
        <w:wordWrap/>
        <w:overflowPunct/>
        <w:topLinePunct w:val="0"/>
        <w:autoSpaceDE/>
        <w:autoSpaceDN/>
        <w:bidi w:val="0"/>
        <w:adjustRightInd/>
        <w:snapToGrid/>
        <w:spacing w:line="240" w:lineRule="auto"/>
        <w:ind w:left="0" w:lef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（二）转让或者以承包、出租等方式变相转让城市公共汽车客运经营权的；</w:t>
      </w:r>
    </w:p>
    <w:p>
      <w:pPr>
        <w:pageBreakBefore w:val="0"/>
        <w:widowControl w:val="0"/>
        <w:kinsoku/>
        <w:wordWrap/>
        <w:overflowPunct/>
        <w:topLinePunct w:val="0"/>
        <w:autoSpaceDE/>
        <w:autoSpaceDN/>
        <w:bidi w:val="0"/>
        <w:adjustRightInd/>
        <w:snapToGrid/>
        <w:spacing w:line="240" w:lineRule="auto"/>
        <w:ind w:left="0" w:lef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（三）未按照规定的线路、站点、班次及时间组织运营的；</w:t>
      </w:r>
    </w:p>
    <w:p>
      <w:pPr>
        <w:pageBreakBefore w:val="0"/>
        <w:widowControl w:val="0"/>
        <w:kinsoku/>
        <w:wordWrap/>
        <w:overflowPunct/>
        <w:topLinePunct w:val="0"/>
        <w:autoSpaceDE/>
        <w:autoSpaceDN/>
        <w:bidi w:val="0"/>
        <w:adjustRightInd/>
        <w:snapToGrid/>
        <w:spacing w:line="240" w:lineRule="auto"/>
        <w:ind w:left="0" w:lef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（四）擅自停业、歇业或者终止运营的。</w:t>
      </w:r>
    </w:p>
    <w:p>
      <w:pPr>
        <w:pageBreakBefore w:val="0"/>
        <w:widowControl w:val="0"/>
        <w:kinsoku/>
        <w:wordWrap/>
        <w:overflowPunct/>
        <w:topLinePunct w:val="0"/>
        <w:autoSpaceDE/>
        <w:autoSpaceDN/>
        <w:bidi w:val="0"/>
        <w:adjustRightInd/>
        <w:snapToGrid/>
        <w:spacing w:line="240" w:lineRule="auto"/>
        <w:ind w:left="0" w:lef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有前款第二至四项规定情形之一，经责令限期改正而拒不改正、情节严重的，道路运输管理机构可以终止运营协议。</w:t>
      </w:r>
    </w:p>
    <w:p>
      <w:pPr>
        <w:pageBreakBefore w:val="0"/>
        <w:widowControl w:val="0"/>
        <w:kinsoku/>
        <w:wordWrap/>
        <w:overflowPunct/>
        <w:topLinePunct w:val="0"/>
        <w:autoSpaceDE/>
        <w:autoSpaceDN/>
        <w:bidi w:val="0"/>
        <w:adjustRightInd/>
        <w:snapToGrid/>
        <w:spacing w:line="240" w:lineRule="auto"/>
        <w:ind w:left="0" w:lef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第四十条　</w:t>
      </w:r>
      <w:r>
        <w:rPr>
          <w:rFonts w:hint="eastAsia" w:ascii="仿宋_GB2312" w:hAnsi="仿宋_GB2312" w:eastAsia="仿宋_GB2312" w:cs="仿宋_GB2312"/>
          <w:sz w:val="32"/>
          <w:szCs w:val="32"/>
        </w:rPr>
        <w:t>违反本条例第十三条、第十四条、第二十二条第六项规定，城市公共汽车客运经营企业有下列行为之一的，由道路运输管理机构责令限期改正，处一千元以上五千元以下罚款：</w:t>
      </w:r>
    </w:p>
    <w:p>
      <w:pPr>
        <w:pageBreakBefore w:val="0"/>
        <w:widowControl w:val="0"/>
        <w:kinsoku/>
        <w:wordWrap/>
        <w:overflowPunct/>
        <w:topLinePunct w:val="0"/>
        <w:autoSpaceDE/>
        <w:autoSpaceDN/>
        <w:bidi w:val="0"/>
        <w:adjustRightInd/>
        <w:snapToGrid/>
        <w:spacing w:line="240" w:lineRule="auto"/>
        <w:ind w:left="0" w:leftChars="0" w:firstLine="640" w:firstLineChars="200"/>
        <w:textAlignment w:val="auto"/>
        <w:rPr>
          <w:rFonts w:hint="eastAsia" w:ascii="仿宋_GB2312" w:hAnsi="仿宋_GB2312" w:eastAsia="仿宋_GB2312" w:cs="仿宋_GB2312"/>
          <w:spacing w:val="-4"/>
          <w:sz w:val="32"/>
          <w:szCs w:val="32"/>
        </w:rPr>
      </w:pPr>
      <w:r>
        <w:rPr>
          <w:rFonts w:hint="eastAsia" w:ascii="仿宋_GB2312" w:hAnsi="仿宋_GB2312" w:eastAsia="仿宋_GB2312" w:cs="仿宋_GB2312"/>
          <w:sz w:val="32"/>
          <w:szCs w:val="32"/>
        </w:rPr>
        <w:t>（一）</w:t>
      </w:r>
      <w:r>
        <w:rPr>
          <w:rFonts w:hint="eastAsia" w:ascii="仿宋_GB2312" w:hAnsi="仿宋_GB2312" w:eastAsia="仿宋_GB2312" w:cs="仿宋_GB2312"/>
          <w:spacing w:val="-4"/>
          <w:sz w:val="32"/>
          <w:szCs w:val="32"/>
        </w:rPr>
        <w:t>聘用不符合本条例规定条件的驾驶员驾驶运营车辆的；</w:t>
      </w:r>
    </w:p>
    <w:p>
      <w:pPr>
        <w:pageBreakBefore w:val="0"/>
        <w:widowControl w:val="0"/>
        <w:kinsoku/>
        <w:wordWrap/>
        <w:overflowPunct/>
        <w:topLinePunct w:val="0"/>
        <w:autoSpaceDE/>
        <w:autoSpaceDN/>
        <w:bidi w:val="0"/>
        <w:adjustRightInd/>
        <w:snapToGrid/>
        <w:spacing w:line="240" w:lineRule="auto"/>
        <w:ind w:left="0" w:leftChars="0" w:firstLine="640" w:firstLineChars="200"/>
        <w:textAlignment w:val="auto"/>
        <w:rPr>
          <w:rFonts w:hint="eastAsia" w:ascii="仿宋_GB2312" w:hAnsi="仿宋_GB2312" w:eastAsia="仿宋_GB2312" w:cs="仿宋_GB2312"/>
          <w:spacing w:val="-4"/>
          <w:sz w:val="32"/>
          <w:szCs w:val="32"/>
        </w:rPr>
      </w:pPr>
      <w:r>
        <w:rPr>
          <w:rFonts w:hint="eastAsia" w:ascii="仿宋_GB2312" w:hAnsi="仿宋_GB2312" w:eastAsia="仿宋_GB2312" w:cs="仿宋_GB2312"/>
          <w:sz w:val="32"/>
          <w:szCs w:val="32"/>
        </w:rPr>
        <w:t>（二）</w:t>
      </w:r>
      <w:r>
        <w:rPr>
          <w:rFonts w:hint="eastAsia" w:ascii="仿宋_GB2312" w:hAnsi="仿宋_GB2312" w:eastAsia="仿宋_GB2312" w:cs="仿宋_GB2312"/>
          <w:spacing w:val="-4"/>
          <w:sz w:val="32"/>
          <w:szCs w:val="32"/>
        </w:rPr>
        <w:t>使用不符合本条例规定条件的车辆从事运营，或者未按照国家有关规定加强对运营车辆的维护和检测，影响安全运行的；</w:t>
      </w:r>
    </w:p>
    <w:p>
      <w:pPr>
        <w:pageBreakBefore w:val="0"/>
        <w:widowControl w:val="0"/>
        <w:kinsoku/>
        <w:wordWrap/>
        <w:overflowPunct/>
        <w:topLinePunct w:val="0"/>
        <w:autoSpaceDE/>
        <w:autoSpaceDN/>
        <w:bidi w:val="0"/>
        <w:adjustRightInd/>
        <w:snapToGrid/>
        <w:spacing w:line="240" w:lineRule="auto"/>
        <w:ind w:left="0" w:lef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（三）强迫从业人员违反安全生产制度作业的。</w:t>
      </w:r>
    </w:p>
    <w:p>
      <w:pPr>
        <w:pageBreakBefore w:val="0"/>
        <w:widowControl w:val="0"/>
        <w:kinsoku/>
        <w:wordWrap/>
        <w:overflowPunct/>
        <w:topLinePunct w:val="0"/>
        <w:autoSpaceDE/>
        <w:autoSpaceDN/>
        <w:bidi w:val="0"/>
        <w:adjustRightInd/>
        <w:snapToGrid/>
        <w:spacing w:line="240" w:lineRule="auto"/>
        <w:ind w:left="0" w:lef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第四十一条</w:t>
      </w:r>
      <w:r>
        <w:rPr>
          <w:rFonts w:hint="eastAsia" w:ascii="仿宋_GB2312" w:hAnsi="仿宋_GB2312" w:eastAsia="仿宋_GB2312" w:cs="仿宋_GB2312"/>
          <w:sz w:val="32"/>
          <w:szCs w:val="32"/>
        </w:rPr>
        <w:t>　违反本条例第二十二条第三项、第五项、第八项规定，城市公共汽车客运经营企业有下列行为之一的，由道路运输管理机构责令限期改正；拒不改正的，处一千元以上五千元以下罚款：</w:t>
      </w:r>
    </w:p>
    <w:p>
      <w:pPr>
        <w:pageBreakBefore w:val="0"/>
        <w:widowControl w:val="0"/>
        <w:kinsoku/>
        <w:wordWrap/>
        <w:overflowPunct/>
        <w:topLinePunct w:val="0"/>
        <w:autoSpaceDE/>
        <w:autoSpaceDN/>
        <w:bidi w:val="0"/>
        <w:adjustRightInd/>
        <w:snapToGrid/>
        <w:spacing w:line="240" w:lineRule="auto"/>
        <w:ind w:left="0" w:lef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（一）未在车厢内显著位置公布服务监督电话，张贴线路走向示意图，以及设置老、弱、病、残、孕专用座位和禁烟标志的；</w:t>
      </w:r>
    </w:p>
    <w:p>
      <w:pPr>
        <w:pageBreakBefore w:val="0"/>
        <w:widowControl w:val="0"/>
        <w:kinsoku/>
        <w:wordWrap/>
        <w:overflowPunct/>
        <w:topLinePunct w:val="0"/>
        <w:autoSpaceDE/>
        <w:autoSpaceDN/>
        <w:bidi w:val="0"/>
        <w:adjustRightInd/>
        <w:snapToGrid/>
        <w:spacing w:line="240" w:lineRule="auto"/>
        <w:ind w:left="0" w:lef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（二）运营车辆因故障不能正常行驶，未组织乘客免费转乘同线路的其他车辆或者调派车辆，以及后续车辆驾驶员和乘务员拒载的；</w:t>
      </w:r>
    </w:p>
    <w:p>
      <w:pPr>
        <w:pageBreakBefore w:val="0"/>
        <w:widowControl w:val="0"/>
        <w:kinsoku/>
        <w:wordWrap/>
        <w:overflowPunct/>
        <w:topLinePunct w:val="0"/>
        <w:autoSpaceDE/>
        <w:autoSpaceDN/>
        <w:bidi w:val="0"/>
        <w:adjustRightInd/>
        <w:snapToGrid/>
        <w:spacing w:line="240" w:lineRule="auto"/>
        <w:ind w:left="0" w:lef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（三）未处理乘客投诉的。</w:t>
      </w:r>
    </w:p>
    <w:p>
      <w:pPr>
        <w:pageBreakBefore w:val="0"/>
        <w:widowControl w:val="0"/>
        <w:kinsoku/>
        <w:wordWrap/>
        <w:overflowPunct/>
        <w:topLinePunct w:val="0"/>
        <w:autoSpaceDE/>
        <w:autoSpaceDN/>
        <w:bidi w:val="0"/>
        <w:adjustRightInd/>
        <w:snapToGrid/>
        <w:spacing w:line="240" w:lineRule="auto"/>
        <w:ind w:left="0" w:lef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第四十二条　</w:t>
      </w:r>
      <w:r>
        <w:rPr>
          <w:rFonts w:hint="eastAsia" w:ascii="仿宋_GB2312" w:hAnsi="仿宋_GB2312" w:eastAsia="仿宋_GB2312" w:cs="仿宋_GB2312"/>
          <w:sz w:val="32"/>
          <w:szCs w:val="32"/>
        </w:rPr>
        <w:t>违反本条例第二十六条规定，公共汽车驾驶员、乘务员有下列行为之一，由道路运输管理机构责令限期改正，处警告或者五十元以上二百元以下罚款：</w:t>
      </w:r>
    </w:p>
    <w:p>
      <w:pPr>
        <w:pageBreakBefore w:val="0"/>
        <w:widowControl w:val="0"/>
        <w:kinsoku/>
        <w:wordWrap/>
        <w:overflowPunct/>
        <w:topLinePunct w:val="0"/>
        <w:autoSpaceDE/>
        <w:autoSpaceDN/>
        <w:bidi w:val="0"/>
        <w:adjustRightInd/>
        <w:snapToGrid/>
        <w:spacing w:line="240" w:lineRule="auto"/>
        <w:ind w:left="0" w:lef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（一）到站不停、滞站揽客、中途甩客或者在站点外随意停车上下乘客的；</w:t>
      </w:r>
    </w:p>
    <w:p>
      <w:pPr>
        <w:pageBreakBefore w:val="0"/>
        <w:widowControl w:val="0"/>
        <w:kinsoku/>
        <w:wordWrap/>
        <w:overflowPunct/>
        <w:topLinePunct w:val="0"/>
        <w:autoSpaceDE/>
        <w:autoSpaceDN/>
        <w:bidi w:val="0"/>
        <w:adjustRightInd/>
        <w:snapToGrid/>
        <w:spacing w:line="240" w:lineRule="auto"/>
        <w:ind w:left="0" w:lef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（二）未按照核准的收费标准收费的；</w:t>
      </w:r>
    </w:p>
    <w:p>
      <w:pPr>
        <w:pageBreakBefore w:val="0"/>
        <w:widowControl w:val="0"/>
        <w:kinsoku/>
        <w:wordWrap/>
        <w:overflowPunct/>
        <w:topLinePunct w:val="0"/>
        <w:autoSpaceDE/>
        <w:autoSpaceDN/>
        <w:bidi w:val="0"/>
        <w:adjustRightInd/>
        <w:snapToGrid/>
        <w:spacing w:line="240" w:lineRule="auto"/>
        <w:ind w:left="0" w:lef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（三）未及时准确报清线路名称、行驶方向和停靠站点名称，提示安全注意事项的。</w:t>
      </w:r>
    </w:p>
    <w:p>
      <w:pPr>
        <w:pageBreakBefore w:val="0"/>
        <w:widowControl w:val="0"/>
        <w:kinsoku/>
        <w:wordWrap/>
        <w:overflowPunct/>
        <w:topLinePunct w:val="0"/>
        <w:autoSpaceDE/>
        <w:autoSpaceDN/>
        <w:bidi w:val="0"/>
        <w:adjustRightInd/>
        <w:snapToGrid/>
        <w:spacing w:line="240" w:lineRule="auto"/>
        <w:ind w:left="0" w:lef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第四十三条　</w:t>
      </w:r>
      <w:r>
        <w:rPr>
          <w:rFonts w:hint="eastAsia" w:ascii="仿宋_GB2312" w:hAnsi="仿宋_GB2312" w:eastAsia="仿宋_GB2312" w:cs="仿宋_GB2312"/>
          <w:sz w:val="32"/>
          <w:szCs w:val="32"/>
        </w:rPr>
        <w:t>乘客有违反本条例第二十七条规定的行为，经劝阻无效的，驾驶员、乘务员可以拒绝其乘车；造成车辆及相关设施损坏的，应当依法承担赔偿责任；扰乱公共汽车上的秩序或者非法拦截或者强登、扒乘公共汽车，影响车辆正常行驶的，由公安机关根据《中华人民共和国治安管理处罚法》的规定，依法追究法律责任。</w:t>
      </w:r>
    </w:p>
    <w:p>
      <w:pPr>
        <w:pageBreakBefore w:val="0"/>
        <w:widowControl w:val="0"/>
        <w:kinsoku/>
        <w:wordWrap/>
        <w:overflowPunct/>
        <w:topLinePunct w:val="0"/>
        <w:autoSpaceDE/>
        <w:autoSpaceDN/>
        <w:bidi w:val="0"/>
        <w:adjustRightInd/>
        <w:snapToGrid/>
        <w:spacing w:line="240" w:lineRule="auto"/>
        <w:ind w:left="0" w:lef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第四十四条　</w:t>
      </w:r>
      <w:r>
        <w:rPr>
          <w:rFonts w:hint="eastAsia" w:ascii="仿宋_GB2312" w:hAnsi="仿宋_GB2312" w:eastAsia="仿宋_GB2312" w:cs="仿宋_GB2312"/>
          <w:sz w:val="32"/>
          <w:szCs w:val="32"/>
        </w:rPr>
        <w:t>国家机关工作人员违反本条例第三十二条第二款、第三十三条、第三十七条规定，有下列情形之一的，由有权机关依法给予处分；构成犯罪的，依法追究刑事责任：</w:t>
      </w:r>
    </w:p>
    <w:p>
      <w:pPr>
        <w:pageBreakBefore w:val="0"/>
        <w:widowControl w:val="0"/>
        <w:kinsoku/>
        <w:wordWrap/>
        <w:overflowPunct/>
        <w:topLinePunct w:val="0"/>
        <w:autoSpaceDE/>
        <w:autoSpaceDN/>
        <w:bidi w:val="0"/>
        <w:adjustRightInd/>
        <w:snapToGrid/>
        <w:spacing w:line="240" w:lineRule="auto"/>
        <w:ind w:left="0" w:lef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（一）未依法定期开展安全检查，或者在监督检查中发现重大事故隐患，未依法及时处理的；</w:t>
      </w:r>
    </w:p>
    <w:p>
      <w:pPr>
        <w:pageBreakBefore w:val="0"/>
        <w:widowControl w:val="0"/>
        <w:kinsoku/>
        <w:wordWrap/>
        <w:overflowPunct/>
        <w:topLinePunct w:val="0"/>
        <w:autoSpaceDE/>
        <w:autoSpaceDN/>
        <w:bidi w:val="0"/>
        <w:adjustRightInd/>
        <w:snapToGrid/>
        <w:spacing w:line="240" w:lineRule="auto"/>
        <w:ind w:left="0" w:lef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（二）未按规定采取措施处置突发事件或者处置不当，造成不良后果的；</w:t>
      </w:r>
    </w:p>
    <w:p>
      <w:pPr>
        <w:pageBreakBefore w:val="0"/>
        <w:widowControl w:val="0"/>
        <w:kinsoku/>
        <w:wordWrap/>
        <w:overflowPunct/>
        <w:topLinePunct w:val="0"/>
        <w:autoSpaceDE/>
        <w:autoSpaceDN/>
        <w:bidi w:val="0"/>
        <w:adjustRightInd/>
        <w:snapToGrid/>
        <w:spacing w:line="240" w:lineRule="auto"/>
        <w:ind w:left="0" w:lef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（三）未按照规定处理乘客投诉的；</w:t>
      </w:r>
    </w:p>
    <w:p>
      <w:pPr>
        <w:pageBreakBefore w:val="0"/>
        <w:widowControl w:val="0"/>
        <w:kinsoku/>
        <w:wordWrap/>
        <w:overflowPunct/>
        <w:topLinePunct w:val="0"/>
        <w:autoSpaceDE/>
        <w:autoSpaceDN/>
        <w:bidi w:val="0"/>
        <w:adjustRightInd/>
        <w:snapToGrid/>
        <w:spacing w:line="240" w:lineRule="auto"/>
        <w:ind w:left="0" w:lef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（四）索取、收受他人财物或者以其他方式非法谋取利益的；</w:t>
      </w:r>
    </w:p>
    <w:p>
      <w:pPr>
        <w:pageBreakBefore w:val="0"/>
        <w:widowControl w:val="0"/>
        <w:kinsoku/>
        <w:wordWrap/>
        <w:overflowPunct/>
        <w:topLinePunct w:val="0"/>
        <w:autoSpaceDE/>
        <w:autoSpaceDN/>
        <w:bidi w:val="0"/>
        <w:adjustRightInd/>
        <w:snapToGrid/>
        <w:spacing w:line="240" w:lineRule="auto"/>
        <w:ind w:left="0" w:lef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（五）其他玩忽职守、滥用职权、徇私舞弊行为的。</w:t>
      </w:r>
    </w:p>
    <w:p>
      <w:pPr>
        <w:pageBreakBefore w:val="0"/>
        <w:widowControl w:val="0"/>
        <w:kinsoku/>
        <w:wordWrap/>
        <w:overflowPunct/>
        <w:topLinePunct w:val="0"/>
        <w:autoSpaceDE/>
        <w:autoSpaceDN/>
        <w:bidi w:val="0"/>
        <w:adjustRightInd/>
        <w:snapToGrid/>
        <w:spacing w:line="240" w:lineRule="auto"/>
        <w:ind w:left="0" w:leftChars="0" w:firstLine="640" w:firstLineChars="200"/>
        <w:textAlignment w:val="auto"/>
        <w:rPr>
          <w:rFonts w:hint="eastAsia" w:ascii="仿宋_GB2312" w:hAnsi="仿宋_GB2312" w:eastAsia="仿宋_GB2312" w:cs="仿宋_GB2312"/>
          <w:sz w:val="32"/>
          <w:szCs w:val="32"/>
        </w:rPr>
      </w:pPr>
    </w:p>
    <w:p>
      <w:pPr>
        <w:pageBreakBefore w:val="0"/>
        <w:widowControl w:val="0"/>
        <w:kinsoku/>
        <w:wordWrap/>
        <w:overflowPunct/>
        <w:topLinePunct w:val="0"/>
        <w:autoSpaceDE/>
        <w:autoSpaceDN/>
        <w:bidi w:val="0"/>
        <w:adjustRightInd/>
        <w:snapToGrid/>
        <w:spacing w:line="240" w:lineRule="auto"/>
        <w:ind w:left="0" w:leftChars="0"/>
        <w:jc w:val="center"/>
        <w:textAlignment w:val="auto"/>
        <w:rPr>
          <w:rFonts w:hint="eastAsia" w:ascii="黑体" w:hAnsi="黑体" w:eastAsia="黑体" w:cs="黑体"/>
          <w:sz w:val="32"/>
          <w:szCs w:val="32"/>
        </w:rPr>
      </w:pPr>
      <w:r>
        <w:rPr>
          <w:rFonts w:hint="eastAsia" w:ascii="黑体" w:hAnsi="黑体" w:eastAsia="黑体" w:cs="黑体"/>
          <w:sz w:val="32"/>
          <w:szCs w:val="32"/>
        </w:rPr>
        <w:t>第七章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附</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则</w:t>
      </w:r>
    </w:p>
    <w:p>
      <w:pPr>
        <w:pageBreakBefore w:val="0"/>
        <w:widowControl w:val="0"/>
        <w:kinsoku/>
        <w:wordWrap/>
        <w:overflowPunct/>
        <w:topLinePunct w:val="0"/>
        <w:autoSpaceDE/>
        <w:autoSpaceDN/>
        <w:bidi w:val="0"/>
        <w:adjustRightInd/>
        <w:snapToGrid/>
        <w:spacing w:line="240" w:lineRule="auto"/>
        <w:ind w:left="0" w:leftChars="0" w:firstLine="640" w:firstLineChars="200"/>
        <w:textAlignment w:val="auto"/>
        <w:rPr>
          <w:rFonts w:hint="eastAsia" w:ascii="仿宋_GB2312" w:hAnsi="仿宋_GB2312" w:eastAsia="仿宋_GB2312" w:cs="仿宋_GB2312"/>
          <w:sz w:val="32"/>
          <w:szCs w:val="32"/>
        </w:rPr>
      </w:pPr>
    </w:p>
    <w:p>
      <w:pPr>
        <w:pageBreakBefore w:val="0"/>
        <w:widowControl w:val="0"/>
        <w:kinsoku/>
        <w:wordWrap/>
        <w:overflowPunct/>
        <w:topLinePunct w:val="0"/>
        <w:autoSpaceDE/>
        <w:autoSpaceDN/>
        <w:bidi w:val="0"/>
        <w:adjustRightInd/>
        <w:snapToGrid/>
        <w:spacing w:line="240" w:lineRule="auto"/>
        <w:ind w:left="0" w:lef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本条例下列用语的含义：</w:t>
      </w:r>
    </w:p>
    <w:p>
      <w:pPr>
        <w:pageBreakBefore w:val="0"/>
        <w:widowControl w:val="0"/>
        <w:kinsoku/>
        <w:wordWrap/>
        <w:overflowPunct/>
        <w:topLinePunct w:val="0"/>
        <w:autoSpaceDE/>
        <w:autoSpaceDN/>
        <w:bidi w:val="0"/>
        <w:adjustRightInd/>
        <w:snapToGrid/>
        <w:spacing w:line="240" w:lineRule="auto"/>
        <w:ind w:left="0" w:lef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（一）城市公共汽车客运服务设施，是指为公共汽车客运服务的停车场、保养场、站务用房、候车亭、站台、站牌以及油汽供配电等设施。</w:t>
      </w:r>
    </w:p>
    <w:p>
      <w:pPr>
        <w:pageBreakBefore w:val="0"/>
        <w:widowControl w:val="0"/>
        <w:kinsoku/>
        <w:wordWrap/>
        <w:overflowPunct/>
        <w:topLinePunct w:val="0"/>
        <w:autoSpaceDE/>
        <w:autoSpaceDN/>
        <w:bidi w:val="0"/>
        <w:adjustRightInd/>
        <w:snapToGrid/>
        <w:spacing w:line="240" w:lineRule="auto"/>
        <w:ind w:left="0" w:lef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（二）城市公共汽车站点，是指供乘客上下车的，为公共汽车客运服务的首末站、途中站。</w:t>
      </w:r>
    </w:p>
    <w:p>
      <w:pPr>
        <w:pageBreakBefore w:val="0"/>
        <w:widowControl w:val="0"/>
        <w:kinsoku/>
        <w:wordWrap/>
        <w:overflowPunct/>
        <w:topLinePunct w:val="0"/>
        <w:autoSpaceDE/>
        <w:autoSpaceDN/>
        <w:bidi w:val="0"/>
        <w:adjustRightInd/>
        <w:snapToGrid/>
        <w:spacing w:line="240" w:lineRule="auto"/>
        <w:ind w:left="0" w:lef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第四十六条</w:t>
      </w:r>
      <w:r>
        <w:rPr>
          <w:rFonts w:hint="eastAsia" w:ascii="仿宋_GB2312" w:hAnsi="仿宋_GB2312" w:eastAsia="仿宋_GB2312" w:cs="仿宋_GB2312"/>
          <w:sz w:val="32"/>
          <w:szCs w:val="32"/>
        </w:rPr>
        <w:t>　城市公共汽车客运经营企业接受委托提供校车服务的，按照国务院《校车安全管理条例》有关规定执行。</w:t>
      </w:r>
    </w:p>
    <w:p>
      <w:pPr>
        <w:pageBreakBefore w:val="0"/>
        <w:widowControl w:val="0"/>
        <w:kinsoku/>
        <w:wordWrap/>
        <w:overflowPunct/>
        <w:topLinePunct w:val="0"/>
        <w:autoSpaceDE/>
        <w:autoSpaceDN/>
        <w:bidi w:val="0"/>
        <w:adjustRightInd/>
        <w:snapToGrid/>
        <w:spacing w:line="240" w:lineRule="auto"/>
        <w:ind w:left="0" w:lef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第四十七条</w:t>
      </w:r>
      <w:r>
        <w:rPr>
          <w:rFonts w:hint="eastAsia" w:ascii="仿宋_GB2312" w:hAnsi="仿宋_GB2312" w:eastAsia="仿宋_GB2312" w:cs="仿宋_GB2312"/>
          <w:sz w:val="32"/>
          <w:szCs w:val="32"/>
        </w:rPr>
        <w:t>　推行城乡公交一体化的城市，设区的市人民政府可以参照本条例，结合本地实际，制定具体管理办法。</w:t>
      </w:r>
    </w:p>
    <w:p>
      <w:pPr>
        <w:pageBreakBefore w:val="0"/>
        <w:widowControl w:val="0"/>
        <w:kinsoku/>
        <w:wordWrap/>
        <w:overflowPunct/>
        <w:topLinePunct w:val="0"/>
        <w:autoSpaceDE/>
        <w:autoSpaceDN/>
        <w:bidi w:val="0"/>
        <w:adjustRightInd/>
        <w:snapToGrid/>
        <w:spacing w:line="240" w:lineRule="auto"/>
        <w:ind w:left="0" w:lef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设区的市可以制定城市轨道交通管理办法。</w:t>
      </w:r>
    </w:p>
    <w:p>
      <w:pPr>
        <w:pageBreakBefore w:val="0"/>
        <w:widowControl w:val="0"/>
        <w:kinsoku/>
        <w:wordWrap/>
        <w:overflowPunct/>
        <w:topLinePunct w:val="0"/>
        <w:autoSpaceDE/>
        <w:autoSpaceDN/>
        <w:bidi w:val="0"/>
        <w:adjustRightInd/>
        <w:snapToGrid/>
        <w:spacing w:line="240" w:lineRule="auto"/>
        <w:ind w:left="0" w:lef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公共汽车客运跨城市运营的，由相关设区的市、县级人民政府共同商定运营方式和管理模式。</w:t>
      </w:r>
    </w:p>
    <w:p>
      <w:pPr>
        <w:pageBreakBefore w:val="0"/>
        <w:widowControl w:val="0"/>
        <w:kinsoku/>
        <w:wordWrap/>
        <w:overflowPunct/>
        <w:topLinePunct w:val="0"/>
        <w:autoSpaceDE/>
        <w:autoSpaceDN/>
        <w:bidi w:val="0"/>
        <w:adjustRightInd/>
        <w:snapToGrid/>
        <w:spacing w:line="240" w:lineRule="auto"/>
        <w:ind w:left="0" w:leftChars="0" w:firstLine="640" w:firstLineChars="200"/>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rPr>
        <w:t>第四十八条　</w:t>
      </w:r>
      <w:r>
        <w:rPr>
          <w:rFonts w:hint="eastAsia" w:ascii="仿宋_GB2312" w:hAnsi="仿宋_GB2312" w:eastAsia="仿宋_GB2312" w:cs="仿宋_GB2312"/>
          <w:sz w:val="32"/>
          <w:szCs w:val="32"/>
        </w:rPr>
        <w:t>本条例自</w:t>
      </w:r>
      <w:r>
        <w:rPr>
          <w:rFonts w:hint="eastAsia" w:ascii="仿宋_GB2312" w:hAnsi="仿宋_GB2312" w:eastAsia="仿宋_GB2312" w:cs="仿宋_GB2312"/>
          <w:sz w:val="32"/>
          <w:szCs w:val="32"/>
        </w:rPr>
        <w:t>2016</w:t>
      </w:r>
      <w:r>
        <w:rPr>
          <w:rFonts w:hint="eastAsia" w:ascii="仿宋_GB2312" w:hAnsi="仿宋_GB2312" w:eastAsia="仿宋_GB2312" w:cs="仿宋_GB2312"/>
          <w:sz w:val="32"/>
          <w:szCs w:val="32"/>
        </w:rPr>
        <w:t>年</w:t>
      </w:r>
      <w:r>
        <w:rPr>
          <w:rFonts w:hint="eastAsia" w:ascii="仿宋_GB2312" w:hAnsi="仿宋_GB2312" w:eastAsia="仿宋_GB2312" w:cs="仿宋_GB2312"/>
          <w:sz w:val="32"/>
          <w:szCs w:val="32"/>
        </w:rPr>
        <w:t>6</w:t>
      </w:r>
      <w:r>
        <w:rPr>
          <w:rFonts w:hint="eastAsia" w:ascii="仿宋_GB2312" w:hAnsi="仿宋_GB2312" w:eastAsia="仿宋_GB2312" w:cs="仿宋_GB2312"/>
          <w:sz w:val="32"/>
          <w:szCs w:val="32"/>
        </w:rPr>
        <w:t>月</w:t>
      </w:r>
      <w:r>
        <w:rPr>
          <w:rFonts w:hint="eastAsia" w:ascii="仿宋_GB2312" w:hAnsi="仿宋_GB2312" w:eastAsia="仿宋_GB2312" w:cs="仿宋_GB2312"/>
          <w:sz w:val="32"/>
          <w:szCs w:val="32"/>
        </w:rPr>
        <w:t>1</w:t>
      </w:r>
      <w:r>
        <w:rPr>
          <w:rFonts w:hint="eastAsia" w:ascii="仿宋_GB2312" w:hAnsi="仿宋_GB2312" w:eastAsia="仿宋_GB2312" w:cs="仿宋_GB2312"/>
          <w:sz w:val="32"/>
          <w:szCs w:val="32"/>
        </w:rPr>
        <w:t>日起施行。</w:t>
      </w:r>
      <w:bookmarkStart w:id="3" w:name="_GoBack"/>
      <w:bookmarkEnd w:id="3"/>
    </w:p>
    <w:sectPr>
      <w:footerReference r:id="rId3" w:type="default"/>
      <w:pgSz w:w="11906" w:h="16838"/>
      <w:pgMar w:top="2007" w:right="1298" w:bottom="986" w:left="1576" w:header="851" w:footer="992" w:gutter="0"/>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新魏">
    <w:panose1 w:val="02010800040101010101"/>
    <w:charset w:val="86"/>
    <w:family w:val="auto"/>
    <w:pitch w:val="default"/>
    <w:sig w:usb0="00000001" w:usb1="080F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A00002EF" w:usb1="4000207B" w:usb2="00000000" w:usb3="00000000" w:csb0="2000019F" w:csb1="00000000"/>
  </w:font>
  <w:font w:name="方正舒体">
    <w:panose1 w:val="02010601030101010101"/>
    <w:charset w:val="86"/>
    <w:family w:val="auto"/>
    <w:pitch w:val="default"/>
    <w:sig w:usb0="00000003"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Batang">
    <w:panose1 w:val="02030600000101010101"/>
    <w:charset w:val="81"/>
    <w:family w:val="auto"/>
    <w:pitch w:val="default"/>
    <w:sig w:usb0="B00002AF" w:usb1="69D77CFB" w:usb2="00000030" w:usb3="00000000" w:csb0="4008009F" w:csb1="DFD70000"/>
  </w:font>
  <w:font w:name="BatangChe">
    <w:panose1 w:val="02030609000101010101"/>
    <w:charset w:val="81"/>
    <w:family w:val="auto"/>
    <w:pitch w:val="default"/>
    <w:sig w:usb0="B00002AF" w:usb1="69D77CFB" w:usb2="00000030" w:usb3="00000000" w:csb0="4008009F" w:csb1="DFD70000"/>
  </w:font>
  <w:font w:name="Arial Unicode MS">
    <w:panose1 w:val="020B0604020202020204"/>
    <w:charset w:val="86"/>
    <w:family w:val="auto"/>
    <w:pitch w:val="default"/>
    <w:sig w:usb0="FFFFFFFF" w:usb1="E9FFFFFF" w:usb2="0000003F" w:usb3="00000000" w:csb0="603F01FF" w:csb1="FFFF0000"/>
  </w:font>
  <w:font w:name="华文行楷">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方正兰亭超细黑简体">
    <w:panose1 w:val="02000000000000000000"/>
    <w:charset w:val="86"/>
    <w:family w:val="auto"/>
    <w:pitch w:val="default"/>
    <w:sig w:usb0="00000001" w:usb1="08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DFKai-SB">
    <w:panose1 w:val="03000509000000000000"/>
    <w:charset w:val="88"/>
    <w:family w:val="auto"/>
    <w:pitch w:val="default"/>
    <w:sig w:usb0="00000003" w:usb1="082E0000" w:usb2="00000016" w:usb3="00000000" w:csb0="00100001" w:csb1="00000000"/>
  </w:font>
  <w:font w:name="新宋体">
    <w:panose1 w:val="02010609030101010101"/>
    <w:charset w:val="86"/>
    <w:family w:val="auto"/>
    <w:pitch w:val="default"/>
    <w:sig w:usb0="00000003" w:usb1="288F0000" w:usb2="00000006" w:usb3="00000000" w:csb0="00040001" w:csb1="00000000"/>
  </w:font>
  <w:font w:name="华文隶书">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方正小标宋简体">
    <w:panose1 w:val="03000509000000000000"/>
    <w:charset w:val="86"/>
    <w:family w:val="script"/>
    <w:pitch w:val="default"/>
    <w:sig w:usb0="00000001" w:usb1="080E0000" w:usb2="00000000" w:usb3="00000000" w:csb0="00040000" w:csb1="00000000"/>
  </w:font>
  <w:font w:name="Tahoma">
    <w:panose1 w:val="020B0604030504040204"/>
    <w:charset w:val="00"/>
    <w:family w:val="swiss"/>
    <w:pitch w:val="default"/>
    <w:sig w:usb0="E1002EFF" w:usb1="C000605B" w:usb2="00000029" w:usb3="00000000" w:csb0="200101FF" w:csb1="20280000"/>
  </w:font>
  <w:font w:name="Courier New">
    <w:panose1 w:val="02070309020205020404"/>
    <w:charset w:val="00"/>
    <w:family w:val="modern"/>
    <w:pitch w:val="default"/>
    <w:sig w:usb0="E0002AFF" w:usb1="C0007843" w:usb2="00000009" w:usb3="00000000" w:csb0="400001FF" w:csb1="FFFF0000"/>
  </w:font>
  <w:font w:name="Verdana">
    <w:panose1 w:val="020B0604030504040204"/>
    <w:charset w:val="00"/>
    <w:family w:val="swiss"/>
    <w:pitch w:val="default"/>
    <w:sig w:usb0="A10006FF" w:usb1="4000205B" w:usb2="00000010" w:usb3="00000000" w:csb0="2000019F" w:csb1="00000000"/>
  </w:font>
  <w:font w:name="仿宋_GB2312">
    <w:panose1 w:val="02010609030101010101"/>
    <w:charset w:val="86"/>
    <w:family w:val="modern"/>
    <w:pitch w:val="default"/>
    <w:sig w:usb0="00000001" w:usb1="080E0000" w:usb2="00000000" w:usb3="00000000" w:csb0="00040000" w:csb1="00000000"/>
  </w:font>
  <w:font w:name="方正楷体_GBK">
    <w:altName w:val="Arial Unicode MS"/>
    <w:panose1 w:val="03000509000000000000"/>
    <w:charset w:val="86"/>
    <w:family w:val="script"/>
    <w:pitch w:val="default"/>
    <w:sig w:usb0="00000000" w:usb1="00000000" w:usb2="00000010" w:usb3="00000000" w:csb0="00040000" w:csb1="00000000"/>
  </w:font>
  <w:font w:name="方正仿宋_GBK">
    <w:altName w:val="Arial Unicode MS"/>
    <w:panose1 w:val="03000509000000000000"/>
    <w:charset w:val="86"/>
    <w:family w:val="script"/>
    <w:pitch w:val="default"/>
    <w:sig w:usb0="00000000" w:usb1="00000000" w:usb2="00000010" w:usb3="00000000" w:csb0="00040000" w:csb1="00000000"/>
  </w:font>
  <w:font w:name="方正黑体_GBK">
    <w:altName w:val="黑体"/>
    <w:panose1 w:val="02000000000000000000"/>
    <w:charset w:val="86"/>
    <w:family w:val="auto"/>
    <w:pitch w:val="default"/>
    <w:sig w:usb0="00000000" w:usb1="00000000" w:usb2="00000000" w:usb3="00000000" w:csb0="00040000" w:csb1="00000000"/>
  </w:font>
  <w:font w:name="方正大标宋简体">
    <w:panose1 w:val="02010601030101010101"/>
    <w:charset w:val="86"/>
    <w:family w:val="auto"/>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方正楷体简体">
    <w:panose1 w:val="03000509000000000000"/>
    <w:charset w:val="86"/>
    <w:family w:val="script"/>
    <w:pitch w:val="default"/>
    <w:sig w:usb0="00000001" w:usb1="080E0000" w:usb2="00000000" w:usb3="00000000" w:csb0="00040000" w:csb1="00000000"/>
  </w:font>
  <w:font w:name="_x000B_">
    <w:altName w:val="Times New Roman"/>
    <w:panose1 w:val="00000000000000000000"/>
    <w:charset w:val="00"/>
    <w:family w:val="roman"/>
    <w:pitch w:val="default"/>
    <w:sig w:usb0="00000000" w:usb1="00000000" w:usb2="00000000" w:usb3="00000000" w:csb0="00040001" w:csb1="00000000"/>
  </w:font>
  <w:font w:name="Arial Narrow">
    <w:panose1 w:val="020B0606020202030204"/>
    <w:charset w:val="00"/>
    <w:family w:val="swiss"/>
    <w:pitch w:val="default"/>
    <w:sig w:usb0="00000287" w:usb1="00000800" w:usb2="00000000" w:usb3="00000000" w:csb0="2000009F" w:csb1="DFD70000"/>
  </w:font>
  <w:font w:name="Arial Black">
    <w:panose1 w:val="020B0A04020102020204"/>
    <w:charset w:val="00"/>
    <w:family w:val="swiss"/>
    <w:pitch w:val="default"/>
    <w:sig w:usb0="00000287" w:usb1="00000000" w:usb2="00000000" w:usb3="00000000" w:csb0="2000009F" w:csb1="DFD70000"/>
  </w:font>
  <w:font w:name="ˎ̥">
    <w:altName w:val="Times New Roman"/>
    <w:panose1 w:val="00000000000000000000"/>
    <w:charset w:val="00"/>
    <w:family w:val="roman"/>
    <w:pitch w:val="default"/>
    <w:sig w:usb0="00000000" w:usb1="00000000" w:usb2="00000000" w:usb3="00000000" w:csb0="00040001" w:csb1="00000000"/>
  </w:font>
  <w:font w:name="ˎ̥,Verdana,Arial">
    <w:altName w:val="Arial Unicode MS"/>
    <w:panose1 w:val="00000000000000000000"/>
    <w:charset w:val="00"/>
    <w:family w:val="roman"/>
    <w:pitch w:val="default"/>
    <w:sig w:usb0="00000000" w:usb1="00000000" w:usb2="00000000" w:usb3="00000000" w:csb0="00040001" w:csb1="00000000"/>
  </w:font>
  <w:font w:name="..">
    <w:altName w:val="Arial Unicode MS"/>
    <w:panose1 w:val="00000000000000000000"/>
    <w:charset w:val="00"/>
    <w:family w:val="roman"/>
    <w:pitch w:val="default"/>
    <w:sig w:usb0="00000000" w:usb1="00000000" w:usb2="00000000" w:usb3="00000000" w:csb0="00040001" w:csb1="00000000"/>
  </w:font>
  <w:font w:name="宋体-18030">
    <w:altName w:val="Arial Unicode MS"/>
    <w:panose1 w:val="00000000000000000000"/>
    <w:charset w:val="86"/>
    <w:family w:val="roman"/>
    <w:pitch w:val="default"/>
    <w:sig w:usb0="00000000" w:usb1="00000000" w:usb2="0000001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宋体-方正超大字符集">
    <w:panose1 w:val="03000509000000000000"/>
    <w:charset w:val="86"/>
    <w:family w:val="auto"/>
    <w:pitch w:val="default"/>
    <w:sig w:usb0="00000001" w:usb1="080E0000" w:usb2="00000000" w:usb3="00000000" w:csb0="00040000" w:csb1="00000000"/>
  </w:font>
  <w:font w:name="方正书宋简体">
    <w:panose1 w:val="02010601030101010101"/>
    <w:charset w:val="86"/>
    <w:family w:val="auto"/>
    <w:pitch w:val="default"/>
    <w:sig w:usb0="00000001" w:usb1="080E0000" w:usb2="00000000" w:usb3="00000000" w:csb0="00040000" w:csb1="00000000"/>
  </w:font>
  <w:font w:name="方正姚体简体">
    <w:panose1 w:val="03000509000000000000"/>
    <w:charset w:val="86"/>
    <w:family w:val="auto"/>
    <w:pitch w:val="default"/>
    <w:sig w:usb0="00000001" w:usb1="080E0000" w:usb2="00000000" w:usb3="00000000" w:csb0="00040000" w:csb1="00000000"/>
  </w:font>
  <w:font w:name="方正行楷简体">
    <w:panose1 w:val="02010601030101010101"/>
    <w:charset w:val="86"/>
    <w:family w:val="auto"/>
    <w:pitch w:val="default"/>
    <w:sig w:usb0="00000001" w:usb1="080E0000" w:usb2="00000000" w:usb3="00000000" w:csb0="00040000" w:csb1="00000000"/>
  </w:font>
  <w:font w:name="方正黑体简体">
    <w:panose1 w:val="03000509000000000000"/>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Dotum">
    <w:panose1 w:val="020B0600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Gungsuh">
    <w:panose1 w:val="02030600000101010101"/>
    <w:charset w:val="81"/>
    <w:family w:val="auto"/>
    <w:pitch w:val="default"/>
    <w:sig w:usb0="B00002AF" w:usb1="69D77CFB" w:usb2="00000030" w:usb3="00000000" w:csb0="4008009F" w:csb1="DFD70000"/>
  </w:font>
  <w:font w:name="GungsuhChe">
    <w:panose1 w:val="02030609000101010101"/>
    <w:charset w:val="81"/>
    <w:family w:val="auto"/>
    <w:pitch w:val="default"/>
    <w:sig w:usb0="B00002AF" w:usb1="69D77CFB" w:usb2="00000030" w:usb3="00000000" w:csb0="4008009F" w:csb1="DFD70000"/>
  </w:font>
  <w:font w:name="Malgun Gothic">
    <w:panose1 w:val="020B0503020000020004"/>
    <w:charset w:val="81"/>
    <w:family w:val="auto"/>
    <w:pitch w:val="default"/>
    <w:sig w:usb0="900002AF" w:usb1="01D77CFB" w:usb2="00000012" w:usb3="00000000" w:csb0="00080001" w:csb1="00000000"/>
  </w:font>
  <w:font w:name="Meiryo">
    <w:panose1 w:val="020B0604030504040204"/>
    <w:charset w:val="80"/>
    <w:family w:val="auto"/>
    <w:pitch w:val="default"/>
    <w:sig w:usb0="E10102FF" w:usb1="EAC7FFFF" w:usb2="00010012" w:usb3="00000000" w:csb0="6002009F" w:csb1="DFD70000"/>
  </w:font>
  <w:font w:name="Microsoft JhengHei">
    <w:panose1 w:val="020B0604030504040204"/>
    <w:charset w:val="88"/>
    <w:family w:val="auto"/>
    <w:pitch w:val="default"/>
    <w:sig w:usb0="00000087" w:usb1="28AF4000" w:usb2="00000016" w:usb3="00000000" w:csb0="00100009" w:csb1="00000000"/>
  </w:font>
  <w:font w:name="Meiryo UI">
    <w:panose1 w:val="020B0604030504040204"/>
    <w:charset w:val="80"/>
    <w:family w:val="auto"/>
    <w:pitch w:val="default"/>
    <w:sig w:usb0="E10102FF" w:usb1="EAC7FFFF" w:usb2="00010012" w:usb3="00000000" w:csb0="6002009F" w:csb1="DFD70000"/>
  </w:font>
  <w:font w:name="MS Reference Sans Serif">
    <w:panose1 w:val="020B0604030504040204"/>
    <w:charset w:val="00"/>
    <w:family w:val="auto"/>
    <w:pitch w:val="default"/>
    <w:sig w:usb0="00000287" w:usb1="00000000" w:usb2="00000000" w:usb3="00000000" w:csb0="2000019F" w:csb1="00000000"/>
  </w:font>
  <w:font w:name="Cambria Math">
    <w:panose1 w:val="02040503050406030204"/>
    <w:charset w:val="00"/>
    <w:family w:val="auto"/>
    <w:pitch w:val="default"/>
    <w:sig w:usb0="E00002FF" w:usb1="420024FF" w:usb2="00000000" w:usb3="00000000" w:csb0="2000019F" w:csb1="00000000"/>
  </w:font>
  <w:font w:name="方正小标宋_GBK">
    <w:altName w:val="Arial Unicode MS"/>
    <w:panose1 w:val="03000509000000000000"/>
    <w:charset w:val="86"/>
    <w:family w:val="script"/>
    <w:pitch w:val="default"/>
    <w:sig w:usb0="00000000" w:usb1="0000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4AB1BA"/>
    <w:multiLevelType w:val="singleLevel"/>
    <w:tmpl w:val="564AB1BA"/>
    <w:lvl w:ilvl="0" w:tentative="0">
      <w:start w:val="1"/>
      <w:numFmt w:val="chineseCounting"/>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226D56"/>
    <w:rsid w:val="01092C8A"/>
    <w:rsid w:val="014A7FF9"/>
    <w:rsid w:val="05EE7776"/>
    <w:rsid w:val="079F117E"/>
    <w:rsid w:val="07A83C4C"/>
    <w:rsid w:val="0A1B25B4"/>
    <w:rsid w:val="0DBA3390"/>
    <w:rsid w:val="0DDC0A3D"/>
    <w:rsid w:val="0E3909E7"/>
    <w:rsid w:val="1063786B"/>
    <w:rsid w:val="11487D4E"/>
    <w:rsid w:val="11EF21C0"/>
    <w:rsid w:val="14470207"/>
    <w:rsid w:val="17252A4E"/>
    <w:rsid w:val="19144B94"/>
    <w:rsid w:val="1B66288C"/>
    <w:rsid w:val="1C903441"/>
    <w:rsid w:val="1D9F5BAD"/>
    <w:rsid w:val="1E066984"/>
    <w:rsid w:val="233E2096"/>
    <w:rsid w:val="24306723"/>
    <w:rsid w:val="2C004F7B"/>
    <w:rsid w:val="2D742E6D"/>
    <w:rsid w:val="2E35379F"/>
    <w:rsid w:val="2E4E7D37"/>
    <w:rsid w:val="316C7F93"/>
    <w:rsid w:val="346C49AA"/>
    <w:rsid w:val="35244ADA"/>
    <w:rsid w:val="381E5E75"/>
    <w:rsid w:val="39B11E38"/>
    <w:rsid w:val="3A1E6683"/>
    <w:rsid w:val="3C282948"/>
    <w:rsid w:val="3C3E71B4"/>
    <w:rsid w:val="3F38699A"/>
    <w:rsid w:val="3FF33AAA"/>
    <w:rsid w:val="407A2CDD"/>
    <w:rsid w:val="40CB1336"/>
    <w:rsid w:val="41456DAB"/>
    <w:rsid w:val="422A6439"/>
    <w:rsid w:val="425534DD"/>
    <w:rsid w:val="43066663"/>
    <w:rsid w:val="438A2EFC"/>
    <w:rsid w:val="470509D9"/>
    <w:rsid w:val="476225F5"/>
    <w:rsid w:val="49F900AC"/>
    <w:rsid w:val="4B9163E8"/>
    <w:rsid w:val="4C900EAD"/>
    <w:rsid w:val="4F1C1CFA"/>
    <w:rsid w:val="51CF2E7D"/>
    <w:rsid w:val="51EF2D6B"/>
    <w:rsid w:val="538E26F6"/>
    <w:rsid w:val="55F102C8"/>
    <w:rsid w:val="5B883FCC"/>
    <w:rsid w:val="63E17A79"/>
    <w:rsid w:val="67B87810"/>
    <w:rsid w:val="69922251"/>
    <w:rsid w:val="6AD11AD0"/>
    <w:rsid w:val="6AEE49E1"/>
    <w:rsid w:val="6C4F70EF"/>
    <w:rsid w:val="7049093B"/>
    <w:rsid w:val="7146380C"/>
    <w:rsid w:val="75EC02E0"/>
    <w:rsid w:val="77301489"/>
    <w:rsid w:val="78447AEB"/>
    <w:rsid w:val="79154CC3"/>
    <w:rsid w:val="79A522F3"/>
    <w:rsid w:val="79C2709B"/>
    <w:rsid w:val="7A226D56"/>
    <w:rsid w:val="7D610DFF"/>
    <w:rsid w:val="7E1F45A6"/>
    <w:rsid w:val="7EB4349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paragraph" w:styleId="2">
    <w:name w:val="heading 1"/>
    <w:basedOn w:val="1"/>
    <w:next w:val="1"/>
    <w:qFormat/>
    <w:uiPriority w:val="0"/>
    <w:pPr>
      <w:keepNext/>
      <w:keepLines/>
      <w:spacing w:line="0" w:lineRule="atLeast"/>
      <w:jc w:val="center"/>
      <w:outlineLvl w:val="0"/>
    </w:pPr>
    <w:rPr>
      <w:rFonts w:eastAsia="方正小标宋简体"/>
      <w:bCs/>
      <w:kern w:val="44"/>
      <w:sz w:val="44"/>
      <w:szCs w:val="44"/>
    </w:rPr>
  </w:style>
  <w:style w:type="character" w:default="1" w:styleId="8">
    <w:name w:val="Default Paragraph Font"/>
    <w:semiHidden/>
    <w:qFormat/>
    <w:uiPriority w:val="0"/>
  </w:style>
  <w:style w:type="table" w:default="1" w:styleId="10">
    <w:name w:val="Normal Table"/>
    <w:semiHidden/>
    <w:qFormat/>
    <w:uiPriority w:val="0"/>
    <w:tblPr>
      <w:tblLayout w:type="fixed"/>
      <w:tblCellMar>
        <w:top w:w="0" w:type="dxa"/>
        <w:left w:w="108" w:type="dxa"/>
        <w:bottom w:w="0" w:type="dxa"/>
        <w:right w:w="108" w:type="dxa"/>
      </w:tblCellMar>
    </w:tblPr>
  </w:style>
  <w:style w:type="paragraph" w:styleId="3">
    <w:name w:val="Date"/>
    <w:basedOn w:val="1"/>
    <w:next w:val="1"/>
    <w:qFormat/>
    <w:uiPriority w:val="0"/>
    <w:pPr>
      <w:ind w:left="100" w:leftChars="2500"/>
    </w:pPr>
  </w:style>
  <w:style w:type="paragraph" w:styleId="4">
    <w:name w:val="Body Text Indent 2"/>
    <w:basedOn w:val="1"/>
    <w:qFormat/>
    <w:uiPriority w:val="0"/>
    <w:pPr>
      <w:ind w:firstLine="608" w:firstLineChars="200"/>
    </w:pPr>
    <w:rPr>
      <w:spacing w:val="-4"/>
      <w:szCs w:val="24"/>
    </w:r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Normal (Web)"/>
    <w:basedOn w:val="1"/>
    <w:qFormat/>
    <w:uiPriority w:val="0"/>
    <w:pPr>
      <w:widowControl/>
      <w:spacing w:before="100" w:beforeAutospacing="1" w:after="100" w:afterAutospacing="1"/>
      <w:jc w:val="left"/>
    </w:pPr>
    <w:rPr>
      <w:rFonts w:ascii="宋体" w:hAnsi="宋体" w:eastAsia="宋体" w:cs="宋体"/>
      <w:color w:val="000000"/>
      <w:kern w:val="0"/>
      <w:sz w:val="24"/>
      <w:szCs w:val="24"/>
    </w:rPr>
  </w:style>
  <w:style w:type="character" w:styleId="9">
    <w:name w:val="Strong"/>
    <w:qFormat/>
    <w:uiPriority w:val="0"/>
    <w:rPr>
      <w:rFonts w:hint="default" w:ascii="Times New Roman" w:hAnsi="Times New Roman" w:cs="Times New Roman"/>
      <w:b/>
      <w:lang w:bidi="ar-SA"/>
    </w:rPr>
  </w:style>
  <w:style w:type="paragraph" w:customStyle="1" w:styleId="11">
    <w:name w:val="正文_0"/>
    <w:qFormat/>
    <w:uiPriority w:val="0"/>
    <w:pPr>
      <w:widowControl w:val="0"/>
      <w:jc w:val="both"/>
    </w:pPr>
    <w:rPr>
      <w:rFonts w:ascii="Calibri" w:hAnsi="Calibri" w:eastAsiaTheme="minorEastAsia" w:cstheme="minorBidi"/>
      <w:kern w:val="2"/>
      <w:sz w:val="21"/>
      <w:szCs w:val="24"/>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Office_10.1.0.6876_F1E327BC-269C-435d-A152-05C5408002CA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2017-10-26T02:52:00Z</dcterms:created>
  <dc:creator>swdx</dc:creator>
  <cp:lastModifiedBy>shy</cp:lastModifiedBy>
  <dcterms:modified xsi:type="dcterms:W3CDTF">2017-10-28T07:38:59Z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