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eastAsia"/>
        </w:rPr>
      </w:pPr>
    </w:p>
    <w:p>
      <w:pPr>
        <w:rPr>
          <w:rFonts w:hint="eastAsia"/>
        </w:rPr>
      </w:pPr>
    </w:p>
    <w:p>
      <w:pPr>
        <w:keepNext w:val="0"/>
        <w:keepLines w:val="0"/>
        <w:pageBreakBefore w:val="0"/>
        <w:kinsoku/>
        <w:wordWrap/>
        <w:overflowPunct/>
        <w:autoSpaceDE/>
        <w:autoSpaceDN/>
        <w:bidi w:val="0"/>
        <w:spacing w:line="240" w:lineRule="auto"/>
        <w:ind w:firstLine="0"/>
        <w:jc w:val="center"/>
        <w:rPr>
          <w:rFonts w:hint="eastAsia" w:ascii="宋体" w:hAnsi="宋体" w:eastAsia="宋体" w:cs="宋体"/>
          <w:color w:val="000000" w:themeColor="text1"/>
          <w:sz w:val="44"/>
          <w:szCs w:val="44"/>
          <w14:textFill>
            <w14:solidFill>
              <w14:schemeClr w14:val="tx1"/>
            </w14:solidFill>
          </w14:textFill>
        </w:rPr>
      </w:pPr>
      <w:r>
        <w:rPr>
          <w:rFonts w:hint="eastAsia" w:ascii="宋体" w:hAnsi="宋体" w:eastAsia="宋体" w:cs="宋体"/>
          <w:color w:val="000000" w:themeColor="text1"/>
          <w:sz w:val="44"/>
          <w:szCs w:val="44"/>
          <w14:textFill>
            <w14:solidFill>
              <w14:schemeClr w14:val="tx1"/>
            </w14:solidFill>
          </w14:textFill>
        </w:rPr>
        <w:t>安徽省城市房地产交易管理条例</w:t>
      </w:r>
    </w:p>
    <w:p>
      <w:pPr>
        <w:keepNext w:val="0"/>
        <w:keepLines w:val="0"/>
        <w:pageBreakBefore w:val="0"/>
        <w:kinsoku/>
        <w:wordWrap/>
        <w:overflowPunct/>
        <w:autoSpaceDE/>
        <w:autoSpaceDN/>
        <w:bidi w:val="0"/>
        <w:spacing w:line="240" w:lineRule="auto"/>
        <w:ind w:firstLine="0"/>
        <w:jc w:val="center"/>
        <w:rPr>
          <w:rFonts w:hint="eastAsia" w:ascii="宋体" w:hAnsi="宋体" w:eastAsia="宋体" w:cs="宋体"/>
          <w:color w:val="000000" w:themeColor="text1"/>
          <w:sz w:val="44"/>
          <w:szCs w:val="44"/>
          <w14:textFill>
            <w14:solidFill>
              <w14:schemeClr w14:val="tx1"/>
            </w14:solidFill>
          </w14:textFill>
        </w:rPr>
      </w:pPr>
    </w:p>
    <w:p>
      <w:pPr>
        <w:keepNext w:val="0"/>
        <w:keepLines w:val="0"/>
        <w:pageBreakBefore w:val="0"/>
        <w:kinsoku/>
        <w:wordWrap/>
        <w:overflowPunct/>
        <w:autoSpaceDE/>
        <w:autoSpaceDN/>
        <w:bidi w:val="0"/>
        <w:spacing w:line="240" w:lineRule="auto"/>
        <w:ind w:firstLine="0"/>
        <w:jc w:val="center"/>
        <w:rPr>
          <w:rFonts w:hint="eastAsia" w:ascii="楷体_GB2312" w:hAnsi="楷体_GB2312" w:eastAsia="楷体_GB2312" w:cs="楷体_GB2312"/>
          <w:color w:val="000000" w:themeColor="text1"/>
          <w:sz w:val="32"/>
          <w:szCs w:val="32"/>
          <w14:textFill>
            <w14:solidFill>
              <w14:schemeClr w14:val="tx1"/>
            </w14:solidFill>
          </w14:textFill>
        </w:rPr>
      </w:pPr>
      <w:r>
        <w:rPr>
          <w:rFonts w:hint="eastAsia" w:ascii="楷体_GB2312" w:hAnsi="楷体_GB2312" w:eastAsia="楷体_GB2312" w:cs="楷体_GB2312"/>
          <w:color w:val="000000" w:themeColor="text1"/>
          <w:sz w:val="32"/>
          <w:szCs w:val="32"/>
          <w14:textFill>
            <w14:solidFill>
              <w14:schemeClr w14:val="tx1"/>
            </w14:solidFill>
          </w14:textFill>
        </w:rPr>
        <w:t>（2000年5月29日安徽省第九届人民代表大会</w:t>
      </w:r>
    </w:p>
    <w:p>
      <w:pPr>
        <w:keepNext w:val="0"/>
        <w:keepLines w:val="0"/>
        <w:pageBreakBefore w:val="0"/>
        <w:kinsoku/>
        <w:wordWrap/>
        <w:overflowPunct/>
        <w:autoSpaceDE/>
        <w:autoSpaceDN/>
        <w:bidi w:val="0"/>
        <w:spacing w:line="240" w:lineRule="auto"/>
        <w:ind w:firstLine="0"/>
        <w:jc w:val="center"/>
        <w:rPr>
          <w:rFonts w:hint="eastAsia" w:ascii="楷体_GB2312" w:hAnsi="楷体_GB2312" w:eastAsia="楷体_GB2312" w:cs="楷体_GB2312"/>
          <w:color w:val="000000" w:themeColor="text1"/>
          <w:sz w:val="32"/>
          <w:szCs w:val="32"/>
          <w14:textFill>
            <w14:solidFill>
              <w14:schemeClr w14:val="tx1"/>
            </w14:solidFill>
          </w14:textFill>
        </w:rPr>
      </w:pPr>
      <w:r>
        <w:rPr>
          <w:rFonts w:hint="eastAsia" w:ascii="楷体_GB2312" w:hAnsi="楷体_GB2312" w:eastAsia="楷体_GB2312" w:cs="楷体_GB2312"/>
          <w:color w:val="000000" w:themeColor="text1"/>
          <w:sz w:val="32"/>
          <w:szCs w:val="32"/>
          <w14:textFill>
            <w14:solidFill>
              <w14:schemeClr w14:val="tx1"/>
            </w14:solidFill>
          </w14:textFill>
        </w:rPr>
        <w:t>常务委员会第十六次会议通过）</w:t>
      </w:r>
    </w:p>
    <w:p>
      <w:pPr>
        <w:keepNext w:val="0"/>
        <w:keepLines w:val="0"/>
        <w:pageBreakBefore w:val="0"/>
        <w:kinsoku/>
        <w:wordWrap/>
        <w:overflowPunct/>
        <w:autoSpaceDE/>
        <w:autoSpaceDN/>
        <w:bidi w:val="0"/>
        <w:spacing w:line="240" w:lineRule="auto"/>
        <w:ind w:firstLine="628" w:firstLineChars="200"/>
        <w:rPr>
          <w:rFonts w:hint="eastAsia" w:ascii="方正楷体简体" w:hAnsi="楷体" w:eastAsia="方正楷体简体"/>
          <w:color w:val="000000" w:themeColor="text1"/>
          <w:sz w:val="32"/>
          <w:szCs w:val="32"/>
          <w14:textFill>
            <w14:solidFill>
              <w14:schemeClr w14:val="tx1"/>
            </w14:solidFill>
          </w14:textFill>
        </w:rPr>
      </w:pP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黑体" w:hAnsi="Arial" w:eastAsia="黑体" w:cs="Arial"/>
          <w:bCs/>
          <w:color w:val="000000" w:themeColor="text1"/>
          <w:kern w:val="0"/>
          <w:sz w:val="32"/>
          <w:szCs w:val="32"/>
          <w14:textFill>
            <w14:solidFill>
              <w14:schemeClr w14:val="tx1"/>
            </w14:solidFill>
          </w14:textFill>
        </w:rPr>
      </w:pPr>
      <w:r>
        <w:rPr>
          <w:rFonts w:hint="eastAsia" w:ascii="黑体" w:hAnsi="Arial" w:eastAsia="黑体" w:cs="Arial"/>
          <w:bCs/>
          <w:color w:val="000000" w:themeColor="text1"/>
          <w:kern w:val="0"/>
          <w:sz w:val="32"/>
          <w:szCs w:val="32"/>
          <w14:textFill>
            <w14:solidFill>
              <w14:schemeClr w14:val="tx1"/>
            </w14:solidFill>
          </w14:textFill>
        </w:rPr>
        <w:t>第一章　总  则</w:t>
      </w: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黑体" w:hAnsi="Arial" w:eastAsia="黑体" w:cs="Arial"/>
          <w:color w:val="000000" w:themeColor="text1"/>
          <w:kern w:val="0"/>
          <w:sz w:val="32"/>
          <w:szCs w:val="32"/>
          <w14:textFill>
            <w14:solidFill>
              <w14:schemeClr w14:val="tx1"/>
            </w14:solidFill>
          </w14:textFill>
        </w:rPr>
      </w:pPr>
    </w:p>
    <w:p>
      <w:pPr>
        <w:keepNext w:val="0"/>
        <w:keepLines w:val="0"/>
        <w:pageBreakBefore w:val="0"/>
        <w:widowControl/>
        <w:kinsoku/>
        <w:wordWrap/>
        <w:overflowPunct/>
        <w:autoSpaceDE/>
        <w:autoSpaceDN/>
        <w:bidi w:val="0"/>
        <w:spacing w:line="240" w:lineRule="auto"/>
        <w:ind w:firstLine="63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第一条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为规范城市房地产交易行为，维护房地产市场秩序，保障房地产交易当事人的合法权益，根据《</w:t>
      </w:r>
      <w:r>
        <w:rPr>
          <w:rFonts w:hint="eastAsia" w:ascii="仿宋_GB2312" w:hAnsi="宋体" w:eastAsia="仿宋_GB2312" w:cs="宋体"/>
          <w:color w:val="000000" w:themeColor="text1"/>
          <w:kern w:val="0"/>
          <w:sz w:val="32"/>
          <w:szCs w:val="32"/>
          <w14:textFill>
            <w14:solidFill>
              <w14:schemeClr w14:val="tx1"/>
            </w14:solidFill>
          </w14:textFill>
        </w:rPr>
        <w:t>中华人民共和国城市房地产管理法</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》第四章和国务院《</w:t>
      </w:r>
      <w:r>
        <w:rPr>
          <w:rFonts w:hint="eastAsia" w:ascii="仿宋_GB2312" w:hAnsi="宋体" w:eastAsia="仿宋_GB2312" w:cs="宋体"/>
          <w:color w:val="000000" w:themeColor="text1"/>
          <w:kern w:val="0"/>
          <w:sz w:val="32"/>
          <w:szCs w:val="32"/>
          <w14:textFill>
            <w14:solidFill>
              <w14:schemeClr w14:val="tx1"/>
            </w14:solidFill>
          </w14:textFill>
        </w:rPr>
        <w:t>城市房地产开发经营管理条例</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》等有关法律、法规，结合本省实际，制定本条例。</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第二条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在本省城市规划区国有土地范围内取得土地使用权，从事房地产交易，实行房地产交易管理，应遵守本条例。</w:t>
      </w:r>
    </w:p>
    <w:p>
      <w:pPr>
        <w:keepNext w:val="0"/>
        <w:keepLines w:val="0"/>
        <w:pageBreakBefore w:val="0"/>
        <w:widowControl/>
        <w:kinsoku/>
        <w:wordWrap/>
        <w:overflowPunct/>
        <w:autoSpaceDE/>
        <w:autoSpaceDN/>
        <w:bidi w:val="0"/>
        <w:spacing w:line="240" w:lineRule="auto"/>
        <w:ind w:firstLine="63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职工按房改政策和国家优惠政策购买的公有住房、经济适用住房、安居房和解困房的上市交易，按照省政府《安徽省职工所购公有住房上市交易管理暂行办法》执行。</w:t>
      </w:r>
    </w:p>
    <w:p>
      <w:pPr>
        <w:keepNext w:val="0"/>
        <w:keepLines w:val="0"/>
        <w:pageBreakBefore w:val="0"/>
        <w:widowControl/>
        <w:kinsoku/>
        <w:wordWrap/>
        <w:overflowPunct/>
        <w:autoSpaceDE/>
        <w:autoSpaceDN/>
        <w:bidi w:val="0"/>
        <w:spacing w:line="240" w:lineRule="auto"/>
        <w:ind w:firstLine="63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第三条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本条例所称房地产交易，包括房地产转让、房地产抵押和房屋租赁。</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第四条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省人民政府建设行政主管部门、土地行政主管部门依照省人民政府规定的职权划分，各司其职，密切配合，管理本行政区域内房地产工作。</w:t>
      </w:r>
    </w:p>
    <w:p>
      <w:pPr>
        <w:keepNext w:val="0"/>
        <w:keepLines w:val="0"/>
        <w:pageBreakBefore w:val="0"/>
        <w:widowControl/>
        <w:kinsoku/>
        <w:wordWrap/>
        <w:overflowPunct/>
        <w:autoSpaceDE/>
        <w:autoSpaceDN/>
        <w:bidi w:val="0"/>
        <w:spacing w:line="240" w:lineRule="auto"/>
        <w:ind w:firstLine="63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房地产交易应简化程序，规范行为，方便当事人，提高工作效率，降低行政成本。由省人民政府确定，市、县人民政府应由一个部门或一个机构统一负责城市房地产交易管理工作，制作、颁发统一的房地产权证书，并依照有关法律规定，将房屋的所有权和该房屋占用范围内的土地使用权的确认和变更分别载入房地产权证书。</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第五条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市、县负责房地产交易的管理部门的主要职责是：</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（一）贯彻实施房地产交易法律、法规；</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（二）负责房地产交易审核、登记；</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（三）核查交易标的物的价值；</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（四）核发商品房预售许可证书；</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（五）负责依法查处房地产交易活动中的违法行为；</w:t>
      </w:r>
    </w:p>
    <w:p>
      <w:pPr>
        <w:keepNext w:val="0"/>
        <w:keepLines w:val="0"/>
        <w:pageBreakBefore w:val="0"/>
        <w:widowControl/>
        <w:kinsoku/>
        <w:wordWrap/>
        <w:overflowPunct/>
        <w:autoSpaceDE/>
        <w:autoSpaceDN/>
        <w:bidi w:val="0"/>
        <w:spacing w:line="240" w:lineRule="auto"/>
        <w:ind w:firstLine="63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（六）法律、法规规定的其他职责。</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第六条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房地产交易应当遵循自愿、公平和诚实信用的原则，交易双方应遵守国家法律、法规和政策，并签订书面交易合同。</w:t>
      </w:r>
    </w:p>
    <w:p>
      <w:pPr>
        <w:keepNext w:val="0"/>
        <w:keepLines w:val="0"/>
        <w:pageBreakBefore w:val="0"/>
        <w:widowControl/>
        <w:kinsoku/>
        <w:wordWrap/>
        <w:overflowPunct/>
        <w:autoSpaceDE/>
        <w:autoSpaceDN/>
        <w:bidi w:val="0"/>
        <w:spacing w:line="240" w:lineRule="auto"/>
        <w:ind w:firstLine="63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禁止非法交易房地产。</w:t>
      </w:r>
    </w:p>
    <w:p>
      <w:pPr>
        <w:keepNext w:val="0"/>
        <w:keepLines w:val="0"/>
        <w:pageBreakBefore w:val="0"/>
        <w:widowControl/>
        <w:kinsoku/>
        <w:wordWrap/>
        <w:overflowPunct/>
        <w:autoSpaceDE/>
        <w:autoSpaceDN/>
        <w:bidi w:val="0"/>
        <w:spacing w:line="240" w:lineRule="auto"/>
        <w:ind w:firstLine="63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第七条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国家实行房地产价格评估制度。房地产价格评估，应当遵循公正、公平、公开的原则，按照国家规定的技术标准和评估程序，以基准地价、标定地价和各类房屋的重置价格为基础，参照当地的市场价格进行评估。房地产评估的具体办法，由省人民政府另行规定。</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第八条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房地产交易价格除国家另有规定外，由当事人双方协商议定，并向市、县负责房地产交易的管理部门如实申报，不得瞒报或作不实的申报。</w:t>
      </w:r>
    </w:p>
    <w:p>
      <w:pPr>
        <w:keepNext w:val="0"/>
        <w:keepLines w:val="0"/>
        <w:pageBreakBefore w:val="0"/>
        <w:widowControl/>
        <w:kinsoku/>
        <w:wordWrap/>
        <w:overflowPunct/>
        <w:autoSpaceDE/>
        <w:autoSpaceDN/>
        <w:bidi w:val="0"/>
        <w:spacing w:line="240" w:lineRule="auto"/>
        <w:ind w:firstLine="63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负责房地产交易的管理部门认为申报的成交价过低的，可以委托房地产评估机构进行评估，评估结果应经负责房地产交易的管理部门确认。</w:t>
      </w:r>
    </w:p>
    <w:p>
      <w:pPr>
        <w:keepNext w:val="0"/>
        <w:keepLines w:val="0"/>
        <w:pageBreakBefore w:val="0"/>
        <w:widowControl/>
        <w:kinsoku/>
        <w:wordWrap/>
        <w:overflowPunct/>
        <w:autoSpaceDE/>
        <w:autoSpaceDN/>
        <w:bidi w:val="0"/>
        <w:spacing w:line="240" w:lineRule="auto"/>
        <w:ind w:firstLine="63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第九条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房地产交易当事人应按负责房地产交易的管理部门确认的评估价格，依法缴纳税金或土地收益。</w:t>
      </w:r>
    </w:p>
    <w:p>
      <w:pPr>
        <w:keepNext w:val="0"/>
        <w:keepLines w:val="0"/>
        <w:pageBreakBefore w:val="0"/>
        <w:widowControl/>
        <w:kinsoku/>
        <w:wordWrap/>
        <w:overflowPunct/>
        <w:autoSpaceDE/>
        <w:autoSpaceDN/>
        <w:bidi w:val="0"/>
        <w:spacing w:line="240" w:lineRule="auto"/>
        <w:ind w:firstLine="63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第十条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房地产交易当事人可以委托代理人代理交易。委托代理应当出具授权委托书，明确代理权限。</w:t>
      </w:r>
    </w:p>
    <w:p>
      <w:pPr>
        <w:keepNext w:val="0"/>
        <w:keepLines w:val="0"/>
        <w:pageBreakBefore w:val="0"/>
        <w:widowControl/>
        <w:kinsoku/>
        <w:wordWrap/>
        <w:overflowPunct/>
        <w:autoSpaceDE/>
        <w:autoSpaceDN/>
        <w:bidi w:val="0"/>
        <w:spacing w:line="240" w:lineRule="auto"/>
        <w:ind w:firstLine="63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第十一条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房地产转让或变更时，应当向市、县负责房地产交易的管理部门申请房地产变更登记。</w:t>
      </w:r>
    </w:p>
    <w:p>
      <w:pPr>
        <w:keepNext w:val="0"/>
        <w:keepLines w:val="0"/>
        <w:pageBreakBefore w:val="0"/>
        <w:widowControl/>
        <w:kinsoku/>
        <w:wordWrap/>
        <w:overflowPunct/>
        <w:autoSpaceDE/>
        <w:autoSpaceDN/>
        <w:bidi w:val="0"/>
        <w:spacing w:line="240" w:lineRule="auto"/>
        <w:ind w:firstLine="63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第十二条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任何单位和个人都有权向有关单位检举揭发房地产交易中的违法行为。对举报有功的，由市、县负责房地产交易的管理部门给予奖励。</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宋体"/>
          <w:color w:val="000000" w:themeColor="text1"/>
          <w:kern w:val="0"/>
          <w:sz w:val="32"/>
          <w:szCs w:val="32"/>
          <w14:textFill>
            <w14:solidFill>
              <w14:schemeClr w14:val="tx1"/>
            </w14:solidFill>
          </w14:textFill>
        </w:rPr>
      </w:pP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黑体" w:hAnsi="Arial" w:eastAsia="黑体" w:cs="Arial"/>
          <w:bCs/>
          <w:color w:val="000000" w:themeColor="text1"/>
          <w:kern w:val="0"/>
          <w:sz w:val="32"/>
          <w:szCs w:val="32"/>
          <w14:textFill>
            <w14:solidFill>
              <w14:schemeClr w14:val="tx1"/>
            </w14:solidFill>
          </w14:textFill>
        </w:rPr>
      </w:pPr>
      <w:r>
        <w:rPr>
          <w:rFonts w:hint="eastAsia" w:ascii="黑体" w:hAnsi="Arial" w:eastAsia="黑体" w:cs="Arial"/>
          <w:bCs/>
          <w:color w:val="000000" w:themeColor="text1"/>
          <w:kern w:val="0"/>
          <w:sz w:val="32"/>
          <w:szCs w:val="32"/>
          <w14:textFill>
            <w14:solidFill>
              <w14:schemeClr w14:val="tx1"/>
            </w14:solidFill>
          </w14:textFill>
        </w:rPr>
        <w:t>第二章　房地产转让</w:t>
      </w: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黑体" w:hAnsi="Arial" w:eastAsia="黑体" w:cs="Arial"/>
          <w:color w:val="000000" w:themeColor="text1"/>
          <w:kern w:val="0"/>
          <w:sz w:val="32"/>
          <w:szCs w:val="32"/>
          <w14:textFill>
            <w14:solidFill>
              <w14:schemeClr w14:val="tx1"/>
            </w14:solidFill>
          </w14:textFill>
        </w:rPr>
      </w:pP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第十三条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房地产转让是指房地产权利人通过买卖、交换、赠与、继承或其他合法方式，将房地产转移给他人的行为。</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前款所称其他合法方式是指：</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（一）以房地产抵债；</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（二）以房地产作价入股、与他人成立企业房地产权属发生变更的；</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（三）企业被收购、兼并或合并，房地产权属发生转移的；</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（四）法律、法规规定的其他情形。</w:t>
      </w:r>
    </w:p>
    <w:p>
      <w:pPr>
        <w:keepNext w:val="0"/>
        <w:keepLines w:val="0"/>
        <w:pageBreakBefore w:val="0"/>
        <w:widowControl/>
        <w:kinsoku/>
        <w:wordWrap/>
        <w:overflowPunct/>
        <w:autoSpaceDE/>
        <w:autoSpaceDN/>
        <w:bidi w:val="0"/>
        <w:spacing w:line="240" w:lineRule="auto"/>
        <w:ind w:firstLine="63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法律、行政法规禁止转让的除外。</w:t>
      </w:r>
    </w:p>
    <w:p>
      <w:pPr>
        <w:keepNext w:val="0"/>
        <w:keepLines w:val="0"/>
        <w:pageBreakBefore w:val="0"/>
        <w:widowControl/>
        <w:kinsoku/>
        <w:wordWrap/>
        <w:overflowPunct/>
        <w:autoSpaceDE/>
        <w:autoSpaceDN/>
        <w:bidi w:val="0"/>
        <w:spacing w:line="240" w:lineRule="auto"/>
        <w:ind w:firstLine="63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第十四条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房地产转让时，房屋所有权和该房屋占用范围内土地使用权同时转让。同一房屋分割转让的，房屋所有人占有相应比例的土地使用权随之转让。</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第十五条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以划拨方式取得土地使用权的，转让房地产时，由市、县负责房地产交易的管理部门报有批准权的人民政府审批。有批准权的人民政府准予转让的，应当由受让方办理土地使用权出让手续，并依照国家有关规定缴纳土地使用权出让金。</w:t>
      </w:r>
    </w:p>
    <w:p>
      <w:pPr>
        <w:keepNext w:val="0"/>
        <w:keepLines w:val="0"/>
        <w:pageBreakBefore w:val="0"/>
        <w:widowControl/>
        <w:kinsoku/>
        <w:wordWrap/>
        <w:overflowPunct/>
        <w:autoSpaceDE/>
        <w:autoSpaceDN/>
        <w:bidi w:val="0"/>
        <w:spacing w:line="240" w:lineRule="auto"/>
        <w:ind w:firstLine="63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以划拨方式取得土地使用权的，转让房地产报批时，有批准权的人民政府按照国务院规定决定可以不办理土地使用权出让手续的，转让方应当按照国务院规定将转让房地产所获收益中的土地收益上缴国家或者作其他处理。</w:t>
      </w:r>
    </w:p>
    <w:p>
      <w:pPr>
        <w:keepNext w:val="0"/>
        <w:keepLines w:val="0"/>
        <w:pageBreakBefore w:val="0"/>
        <w:widowControl/>
        <w:kinsoku/>
        <w:wordWrap/>
        <w:overflowPunct/>
        <w:autoSpaceDE/>
        <w:autoSpaceDN/>
        <w:bidi w:val="0"/>
        <w:spacing w:line="240" w:lineRule="auto"/>
        <w:ind w:firstLine="63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第十六条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转让已出租的房地产，须提前９０日书面通知承租人，在同等条件下，承租人有优先购买权；如受让人为非承租人，出租人应当告知受让方出租事宜，原租赁合同继续有效。</w:t>
      </w:r>
    </w:p>
    <w:p>
      <w:pPr>
        <w:keepNext w:val="0"/>
        <w:keepLines w:val="0"/>
        <w:pageBreakBefore w:val="0"/>
        <w:widowControl/>
        <w:kinsoku/>
        <w:wordWrap/>
        <w:overflowPunct/>
        <w:autoSpaceDE/>
        <w:autoSpaceDN/>
        <w:bidi w:val="0"/>
        <w:spacing w:line="240" w:lineRule="auto"/>
        <w:ind w:firstLine="63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第十七条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经批准预售商品房的，开发企业和承购人须签订商品房预售合同。预售人应当自预售合同签订之日起３０日内到商品房所在地市、县负责房地产交易的管理部门登记备案。</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第十八条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商品房预购人将预售商品房再行转让的，由转让双方凭已备案的商品房预售合同到所在地市、县负责房地产交易的管理部门办理转让变更登记。</w:t>
      </w:r>
    </w:p>
    <w:p>
      <w:pPr>
        <w:keepNext w:val="0"/>
        <w:keepLines w:val="0"/>
        <w:pageBreakBefore w:val="0"/>
        <w:widowControl/>
        <w:kinsoku/>
        <w:wordWrap/>
        <w:overflowPunct/>
        <w:autoSpaceDE/>
        <w:autoSpaceDN/>
        <w:bidi w:val="0"/>
        <w:spacing w:line="240" w:lineRule="auto"/>
        <w:ind w:firstLine="63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预售当事人不得自行变更商品房预售合同或发票上的姓名或名称。</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第十九条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转让房地产，应当按照下列程序办理：</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（一）当事人在房地产转让合同签订后３０日内持房地产权证书、当事人的身份证明、转让合同等有关文件向房屋所在地的负责房地产交易的管理部门提出申请，申报成交价格。</w:t>
      </w:r>
    </w:p>
    <w:p>
      <w:pPr>
        <w:keepNext w:val="0"/>
        <w:keepLines w:val="0"/>
        <w:pageBreakBefore w:val="0"/>
        <w:widowControl/>
        <w:kinsoku/>
        <w:wordWrap/>
        <w:overflowPunct/>
        <w:autoSpaceDE/>
        <w:autoSpaceDN/>
        <w:bidi w:val="0"/>
        <w:spacing w:line="240" w:lineRule="auto"/>
        <w:ind w:firstLine="63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二）负责房地产交易的管理部门应对提供的有关文件进行审查，核实房地产成交价格，并现场查勘。对符合条件的，自当事人申请之日起３０日内办理过户登记，核发房地产权证书；对不符合条件的，应当在２０日内书面答复当事人。</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宋体"/>
          <w:color w:val="000000" w:themeColor="text1"/>
          <w:kern w:val="0"/>
          <w:sz w:val="32"/>
          <w:szCs w:val="32"/>
          <w14:textFill>
            <w14:solidFill>
              <w14:schemeClr w14:val="tx1"/>
            </w14:solidFill>
          </w14:textFill>
        </w:rPr>
      </w:pP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黑体" w:hAnsi="Arial" w:eastAsia="黑体" w:cs="Arial"/>
          <w:bCs/>
          <w:color w:val="000000" w:themeColor="text1"/>
          <w:kern w:val="0"/>
          <w:sz w:val="32"/>
          <w:szCs w:val="32"/>
          <w14:textFill>
            <w14:solidFill>
              <w14:schemeClr w14:val="tx1"/>
            </w14:solidFill>
          </w14:textFill>
        </w:rPr>
      </w:pPr>
      <w:r>
        <w:rPr>
          <w:rFonts w:hint="eastAsia" w:ascii="黑体" w:hAnsi="Arial" w:eastAsia="黑体" w:cs="Arial"/>
          <w:bCs/>
          <w:color w:val="000000" w:themeColor="text1"/>
          <w:kern w:val="0"/>
          <w:sz w:val="32"/>
          <w:szCs w:val="32"/>
          <w14:textFill>
            <w14:solidFill>
              <w14:schemeClr w14:val="tx1"/>
            </w14:solidFill>
          </w14:textFill>
        </w:rPr>
        <w:t>第三章　房地产抵押</w:t>
      </w: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黑体" w:hAnsi="Arial" w:eastAsia="黑体" w:cs="Arial"/>
          <w:color w:val="000000" w:themeColor="text1"/>
          <w:kern w:val="0"/>
          <w:sz w:val="32"/>
          <w:szCs w:val="32"/>
          <w14:textFill>
            <w14:solidFill>
              <w14:schemeClr w14:val="tx1"/>
            </w14:solidFill>
          </w14:textFill>
        </w:rPr>
      </w:pPr>
    </w:p>
    <w:p>
      <w:pPr>
        <w:keepNext w:val="0"/>
        <w:keepLines w:val="0"/>
        <w:pageBreakBefore w:val="0"/>
        <w:widowControl/>
        <w:kinsoku/>
        <w:wordWrap/>
        <w:overflowPunct/>
        <w:autoSpaceDE/>
        <w:autoSpaceDN/>
        <w:bidi w:val="0"/>
        <w:spacing w:line="240" w:lineRule="auto"/>
        <w:ind w:firstLine="63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第二十条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房地产抵押，是指抵押人以其合法的房地产以不转移占有的方式向抵押权人提供债务履行担保的行为。债务人不履行债务时，抵押权人有权依法以抵押的房地产拍卖、变卖（含折价）所得的价款优先受偿。</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第二十一条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下列房地产不得设定抵押：</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（一）权属有争议或未领取房地产权证书的房地产；</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（二）学校、幼儿园、医院等以公益为目的的事业单位、社会团体的教育设施、医疗卫生设施和其他社会公益设施；</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（三）列入文物保护的建筑物和有重要纪念意义的其他建筑物；</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（四）已依法公告列入拆迁范围的房地产；</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（五）以划拨方式取得的尚未建有地上房屋及其他附属物的土地使用权；</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（六）被依法查封、扣押、监管或以其他形式限制的房地产；</w:t>
      </w:r>
    </w:p>
    <w:p>
      <w:pPr>
        <w:keepNext w:val="0"/>
        <w:keepLines w:val="0"/>
        <w:pageBreakBefore w:val="0"/>
        <w:widowControl/>
        <w:kinsoku/>
        <w:wordWrap/>
        <w:overflowPunct/>
        <w:autoSpaceDE/>
        <w:autoSpaceDN/>
        <w:bidi w:val="0"/>
        <w:spacing w:line="240" w:lineRule="auto"/>
        <w:ind w:firstLine="63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（七）依法不得抵押的其他房地产。</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第二十二条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国家实行房地产抵押登记制度，房地产抵押合同自登记之日起生效。</w:t>
      </w:r>
    </w:p>
    <w:p>
      <w:pPr>
        <w:keepNext w:val="0"/>
        <w:keepLines w:val="0"/>
        <w:pageBreakBefore w:val="0"/>
        <w:widowControl/>
        <w:kinsoku/>
        <w:wordWrap/>
        <w:overflowPunct/>
        <w:autoSpaceDE/>
        <w:autoSpaceDN/>
        <w:bidi w:val="0"/>
        <w:spacing w:line="240" w:lineRule="auto"/>
        <w:ind w:firstLine="63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抵押当事人应当自房地产抵押合同签订之日起３０日内，到房地产所在地市、县负责房地产交易的管理部门办理房地产抵押登记。抵押合同终止时，当事人应到原登记部门办理抵押注销登记手续。</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第二十三条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办理房地产抵押登记，应当提交下列文件：</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（一）抵押当事人的身份证明或法人资格证明；</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（二）抵押登记申请书；</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（三）抵押合同；</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（四）房地产权属证书，未竣工或未交付使用的房地产除外；</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（五）以预购商品房贷款抵押的，须提交生效的商品房预购合同；</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（六）以在建工程抵押的，须提交国有土地使用权证、建设用地规划许可证和建设工程规划许可证；</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（七）可以证明抵押人有权设定抵押权的文件与证明材料；</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（八）可以证明抵押房地产价值的资料；</w:t>
      </w:r>
    </w:p>
    <w:p>
      <w:pPr>
        <w:keepNext w:val="0"/>
        <w:keepLines w:val="0"/>
        <w:pageBreakBefore w:val="0"/>
        <w:widowControl/>
        <w:kinsoku/>
        <w:wordWrap/>
        <w:overflowPunct/>
        <w:autoSpaceDE/>
        <w:autoSpaceDN/>
        <w:bidi w:val="0"/>
        <w:spacing w:line="240" w:lineRule="auto"/>
        <w:ind w:firstLine="63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（九）登记机关认为必要的其他文件。</w:t>
      </w:r>
    </w:p>
    <w:p>
      <w:pPr>
        <w:keepNext w:val="0"/>
        <w:keepLines w:val="0"/>
        <w:pageBreakBefore w:val="0"/>
        <w:widowControl/>
        <w:kinsoku/>
        <w:wordWrap/>
        <w:overflowPunct/>
        <w:autoSpaceDE/>
        <w:autoSpaceDN/>
        <w:bidi w:val="0"/>
        <w:spacing w:line="240" w:lineRule="auto"/>
        <w:ind w:firstLine="630"/>
        <w:jc w:val="left"/>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第二十四条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抵押登记部门应当对申请人的申请进行复核。凡权属清楚、证明材料合法、齐全的，应当自受理登记之日起</w:t>
      </w:r>
      <w:r>
        <w:rPr>
          <w:rFonts w:hint="eastAsia" w:ascii="仿宋_GB2312" w:hAnsi="Arial" w:cs="Arial"/>
          <w:color w:val="000000" w:themeColor="text1"/>
          <w:kern w:val="0"/>
          <w:sz w:val="32"/>
          <w:szCs w:val="32"/>
          <w:shd w:val="clear" w:color="auto" w:fill="FFFFFF"/>
          <w:lang w:val="en-US" w:eastAsia="zh-CN"/>
          <w14:textFill>
            <w14:solidFill>
              <w14:schemeClr w14:val="tx1"/>
            </w14:solidFill>
          </w14:textFill>
        </w:rPr>
        <w:t>15</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日内作出准予登记的书面答复。</w:t>
      </w:r>
    </w:p>
    <w:p>
      <w:pPr>
        <w:keepNext w:val="0"/>
        <w:keepLines w:val="0"/>
        <w:pageBreakBefore w:val="0"/>
        <w:widowControl/>
        <w:kinsoku/>
        <w:wordWrap/>
        <w:overflowPunct/>
        <w:autoSpaceDE/>
        <w:autoSpaceDN/>
        <w:bidi w:val="0"/>
        <w:spacing w:line="240" w:lineRule="auto"/>
        <w:ind w:firstLine="63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第二十五条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因国家建设需要，将已设定抵押权的房地产列入拆迁范围的，抵押人应当及时书面通知抵押权人；抵押双方可以重新设定抵押房地产，也可以依法清理债权债务，解除抵押合同。</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第二十六条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有下列情况之一的，抵押权人有权要求处分抵押的房地产：</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（一）债务履行期满，抵押权人未受清偿的，债务人又未能与抵押权人达成延期履行协议的；</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（二）抵押人死亡或者被宣告死亡而无人代为履行到期债务的，或者抵押人的合法继承人、受遗赠人拒绝履行到期债务的；</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（三）抵押人被依法宣告解散或者破产的；</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（四）抵押人违反抵押合同规定，擅自处分抵押房地产的；</w:t>
      </w:r>
    </w:p>
    <w:p>
      <w:pPr>
        <w:keepNext w:val="0"/>
        <w:keepLines w:val="0"/>
        <w:pageBreakBefore w:val="0"/>
        <w:widowControl/>
        <w:kinsoku/>
        <w:wordWrap/>
        <w:overflowPunct/>
        <w:autoSpaceDE/>
        <w:autoSpaceDN/>
        <w:bidi w:val="0"/>
        <w:spacing w:line="240" w:lineRule="auto"/>
        <w:ind w:firstLine="63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（五）抵押合同约定的其他情况。</w:t>
      </w:r>
    </w:p>
    <w:p>
      <w:pPr>
        <w:keepNext w:val="0"/>
        <w:keepLines w:val="0"/>
        <w:pageBreakBefore w:val="0"/>
        <w:widowControl/>
        <w:kinsoku/>
        <w:wordWrap/>
        <w:overflowPunct/>
        <w:autoSpaceDE/>
        <w:autoSpaceDN/>
        <w:bidi w:val="0"/>
        <w:spacing w:line="240" w:lineRule="auto"/>
        <w:ind w:firstLine="63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第二十七条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有本条例第二十六条规定情况之一的，经抵押当事人协商可以通过拍卖等合法方式处分抵押房地产；协议不成的，抵押权人可以向仲裁机构申请仲裁或向人民法院提起诉讼。</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第二十八条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处分抵押房地产所得金额，依下列顺序分配：</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（一）支付处分抵押房地产的费用；</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（二）扣除抵押房地产应缴纳的税款；</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（三）偿还抵押权人债权本息及支付违约金；</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（四）赔偿由债务人违反合同而对抵押权人造成的损失；</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（五）剩余金额交还抵押人。</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以划拨方式取得的土地使用权抵押的房地产进行处分时，应当从处分所得的价款中缴纳相当于应当缴纳的土地使用权出让金款额后，抵押权人方可优先受偿，法律、法规另有规定的依照其规定。</w:t>
      </w:r>
    </w:p>
    <w:p>
      <w:pPr>
        <w:keepNext w:val="0"/>
        <w:keepLines w:val="0"/>
        <w:pageBreakBefore w:val="0"/>
        <w:widowControl/>
        <w:kinsoku/>
        <w:wordWrap/>
        <w:overflowPunct/>
        <w:autoSpaceDE/>
        <w:autoSpaceDN/>
        <w:bidi w:val="0"/>
        <w:spacing w:line="240" w:lineRule="auto"/>
        <w:ind w:firstLine="63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处分抵押的房地产所得金额不足以支付债务、违约金、赔偿金时，抵押权人有权向债务人追索不足部分。</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宋体"/>
          <w:color w:val="000000" w:themeColor="text1"/>
          <w:kern w:val="0"/>
          <w:sz w:val="32"/>
          <w:szCs w:val="32"/>
          <w14:textFill>
            <w14:solidFill>
              <w14:schemeClr w14:val="tx1"/>
            </w14:solidFill>
          </w14:textFill>
        </w:rPr>
      </w:pP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黑体" w:hAnsi="Arial" w:eastAsia="黑体" w:cs="Arial"/>
          <w:bCs/>
          <w:color w:val="000000" w:themeColor="text1"/>
          <w:kern w:val="0"/>
          <w:sz w:val="32"/>
          <w:szCs w:val="32"/>
          <w14:textFill>
            <w14:solidFill>
              <w14:schemeClr w14:val="tx1"/>
            </w14:solidFill>
          </w14:textFill>
        </w:rPr>
      </w:pPr>
      <w:r>
        <w:rPr>
          <w:rFonts w:hint="eastAsia" w:ascii="黑体" w:hAnsi="Arial" w:eastAsia="黑体" w:cs="Arial"/>
          <w:bCs/>
          <w:color w:val="000000" w:themeColor="text1"/>
          <w:kern w:val="0"/>
          <w:sz w:val="32"/>
          <w:szCs w:val="32"/>
          <w14:textFill>
            <w14:solidFill>
              <w14:schemeClr w14:val="tx1"/>
            </w14:solidFill>
          </w14:textFill>
        </w:rPr>
        <w:t>第四章　房屋租赁</w:t>
      </w: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黑体" w:hAnsi="Arial" w:eastAsia="黑体" w:cs="Arial"/>
          <w:color w:val="000000" w:themeColor="text1"/>
          <w:kern w:val="0"/>
          <w:sz w:val="32"/>
          <w:szCs w:val="32"/>
          <w14:textFill>
            <w14:solidFill>
              <w14:schemeClr w14:val="tx1"/>
            </w14:solidFill>
          </w14:textFill>
        </w:rPr>
      </w:pPr>
    </w:p>
    <w:p>
      <w:pPr>
        <w:keepNext w:val="0"/>
        <w:keepLines w:val="0"/>
        <w:pageBreakBefore w:val="0"/>
        <w:widowControl/>
        <w:kinsoku/>
        <w:wordWrap/>
        <w:overflowPunct/>
        <w:autoSpaceDE/>
        <w:autoSpaceDN/>
        <w:bidi w:val="0"/>
        <w:spacing w:line="240" w:lineRule="auto"/>
        <w:ind w:firstLine="66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第二十九条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房屋租赁是指房屋所有权人作为出租人将其房屋及其附属设施出租给承租人使用，由承租人向出租人支付租金的行为。</w:t>
      </w:r>
    </w:p>
    <w:p>
      <w:pPr>
        <w:keepNext w:val="0"/>
        <w:keepLines w:val="0"/>
        <w:pageBreakBefore w:val="0"/>
        <w:widowControl/>
        <w:kinsoku/>
        <w:wordWrap/>
        <w:overflowPunct/>
        <w:autoSpaceDE/>
        <w:autoSpaceDN/>
        <w:bidi w:val="0"/>
        <w:spacing w:line="240" w:lineRule="auto"/>
        <w:ind w:firstLine="66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第三十条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下列房屋不得出租：</w:t>
      </w:r>
    </w:p>
    <w:p>
      <w:pPr>
        <w:keepNext w:val="0"/>
        <w:keepLines w:val="0"/>
        <w:pageBreakBefore w:val="0"/>
        <w:widowControl/>
        <w:kinsoku/>
        <w:wordWrap/>
        <w:overflowPunct/>
        <w:autoSpaceDE/>
        <w:autoSpaceDN/>
        <w:bidi w:val="0"/>
        <w:spacing w:line="240" w:lineRule="auto"/>
        <w:ind w:firstLine="66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（一）未依法登记领取权属证书的；</w:t>
      </w:r>
    </w:p>
    <w:p>
      <w:pPr>
        <w:keepNext w:val="0"/>
        <w:keepLines w:val="0"/>
        <w:pageBreakBefore w:val="0"/>
        <w:widowControl/>
        <w:kinsoku/>
        <w:wordWrap/>
        <w:overflowPunct/>
        <w:autoSpaceDE/>
        <w:autoSpaceDN/>
        <w:bidi w:val="0"/>
        <w:spacing w:line="240" w:lineRule="auto"/>
        <w:ind w:firstLine="66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（二）共有房屋未经其他共有人同意的；</w:t>
      </w:r>
    </w:p>
    <w:p>
      <w:pPr>
        <w:keepNext w:val="0"/>
        <w:keepLines w:val="0"/>
        <w:pageBreakBefore w:val="0"/>
        <w:widowControl/>
        <w:kinsoku/>
        <w:wordWrap/>
        <w:overflowPunct/>
        <w:autoSpaceDE/>
        <w:autoSpaceDN/>
        <w:bidi w:val="0"/>
        <w:spacing w:line="240" w:lineRule="auto"/>
        <w:ind w:firstLine="66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（三）经鉴定属于危险房屋的；</w:t>
      </w:r>
    </w:p>
    <w:p>
      <w:pPr>
        <w:keepNext w:val="0"/>
        <w:keepLines w:val="0"/>
        <w:pageBreakBefore w:val="0"/>
        <w:widowControl/>
        <w:kinsoku/>
        <w:wordWrap/>
        <w:overflowPunct/>
        <w:autoSpaceDE/>
        <w:autoSpaceDN/>
        <w:bidi w:val="0"/>
        <w:spacing w:line="240" w:lineRule="auto"/>
        <w:ind w:firstLine="66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（四）已抵押的房屋未经抵押权人同意的；</w:t>
      </w:r>
    </w:p>
    <w:p>
      <w:pPr>
        <w:keepNext w:val="0"/>
        <w:keepLines w:val="0"/>
        <w:pageBreakBefore w:val="0"/>
        <w:widowControl/>
        <w:kinsoku/>
        <w:wordWrap/>
        <w:overflowPunct/>
        <w:autoSpaceDE/>
        <w:autoSpaceDN/>
        <w:bidi w:val="0"/>
        <w:spacing w:line="240" w:lineRule="auto"/>
        <w:ind w:firstLine="66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（五）法律、法规规定禁止出租的。</w:t>
      </w:r>
    </w:p>
    <w:p>
      <w:pPr>
        <w:keepNext w:val="0"/>
        <w:keepLines w:val="0"/>
        <w:pageBreakBefore w:val="0"/>
        <w:widowControl/>
        <w:kinsoku/>
        <w:wordWrap/>
        <w:overflowPunct/>
        <w:autoSpaceDE/>
        <w:autoSpaceDN/>
        <w:bidi w:val="0"/>
        <w:spacing w:line="240" w:lineRule="auto"/>
        <w:ind w:firstLine="66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第三十一条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房屋租赁，当事人双方应自租赁合同签订之日起３０日内持房地产权证书、当事人身份证明和租赁合同等文件到市、县负责房地产交易的管理部门办理登记备案手续。缴纳有关税金，领取《房屋租赁证》。</w:t>
      </w:r>
    </w:p>
    <w:p>
      <w:pPr>
        <w:keepNext w:val="0"/>
        <w:keepLines w:val="0"/>
        <w:pageBreakBefore w:val="0"/>
        <w:widowControl/>
        <w:kinsoku/>
        <w:wordWrap/>
        <w:overflowPunct/>
        <w:autoSpaceDE/>
        <w:autoSpaceDN/>
        <w:bidi w:val="0"/>
        <w:spacing w:line="240" w:lineRule="auto"/>
        <w:ind w:firstLine="66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第三十二条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承租人有下列行为之一的，出租人有权解除租赁合同；造成出租人损失的，出租人有权要求承租人赔偿：</w:t>
      </w:r>
    </w:p>
    <w:p>
      <w:pPr>
        <w:keepNext w:val="0"/>
        <w:keepLines w:val="0"/>
        <w:pageBreakBefore w:val="0"/>
        <w:widowControl/>
        <w:kinsoku/>
        <w:wordWrap/>
        <w:overflowPunct/>
        <w:autoSpaceDE/>
        <w:autoSpaceDN/>
        <w:bidi w:val="0"/>
        <w:spacing w:line="240" w:lineRule="auto"/>
        <w:ind w:firstLine="66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（一）利用房屋进行非法活动的；</w:t>
      </w:r>
    </w:p>
    <w:p>
      <w:pPr>
        <w:keepNext w:val="0"/>
        <w:keepLines w:val="0"/>
        <w:pageBreakBefore w:val="0"/>
        <w:widowControl/>
        <w:kinsoku/>
        <w:wordWrap/>
        <w:overflowPunct/>
        <w:autoSpaceDE/>
        <w:autoSpaceDN/>
        <w:bidi w:val="0"/>
        <w:spacing w:line="240" w:lineRule="auto"/>
        <w:ind w:firstLine="66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（二）擅自改变房屋结构或约定用途的；</w:t>
      </w:r>
    </w:p>
    <w:p>
      <w:pPr>
        <w:keepNext w:val="0"/>
        <w:keepLines w:val="0"/>
        <w:pageBreakBefore w:val="0"/>
        <w:widowControl/>
        <w:kinsoku/>
        <w:wordWrap/>
        <w:overflowPunct/>
        <w:autoSpaceDE/>
        <w:autoSpaceDN/>
        <w:bidi w:val="0"/>
        <w:spacing w:line="240" w:lineRule="auto"/>
        <w:ind w:firstLine="66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（三）擅自将房屋转租的；</w:t>
      </w:r>
    </w:p>
    <w:p>
      <w:pPr>
        <w:keepNext w:val="0"/>
        <w:keepLines w:val="0"/>
        <w:pageBreakBefore w:val="0"/>
        <w:widowControl/>
        <w:kinsoku/>
        <w:wordWrap/>
        <w:overflowPunct/>
        <w:autoSpaceDE/>
        <w:autoSpaceDN/>
        <w:bidi w:val="0"/>
        <w:spacing w:line="240" w:lineRule="auto"/>
        <w:ind w:firstLine="66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（四）不按合同约定缴纳租金的。</w:t>
      </w:r>
    </w:p>
    <w:p>
      <w:pPr>
        <w:keepNext w:val="0"/>
        <w:keepLines w:val="0"/>
        <w:pageBreakBefore w:val="0"/>
        <w:widowControl/>
        <w:kinsoku/>
        <w:wordWrap/>
        <w:overflowPunct/>
        <w:autoSpaceDE/>
        <w:autoSpaceDN/>
        <w:bidi w:val="0"/>
        <w:spacing w:line="240" w:lineRule="auto"/>
        <w:ind w:firstLine="66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第三十三条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出租人有下列行为之一的，承租人有权解除租赁合同：</w:t>
      </w:r>
    </w:p>
    <w:p>
      <w:pPr>
        <w:keepNext w:val="0"/>
        <w:keepLines w:val="0"/>
        <w:pageBreakBefore w:val="0"/>
        <w:widowControl/>
        <w:kinsoku/>
        <w:wordWrap/>
        <w:overflowPunct/>
        <w:autoSpaceDE/>
        <w:autoSpaceDN/>
        <w:bidi w:val="0"/>
        <w:spacing w:line="240" w:lineRule="auto"/>
        <w:ind w:firstLine="66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（一）出租人未按合同约定的时间向承租人提供房屋的；</w:t>
      </w:r>
    </w:p>
    <w:p>
      <w:pPr>
        <w:keepNext w:val="0"/>
        <w:keepLines w:val="0"/>
        <w:pageBreakBefore w:val="0"/>
        <w:widowControl/>
        <w:kinsoku/>
        <w:wordWrap/>
        <w:overflowPunct/>
        <w:autoSpaceDE/>
        <w:autoSpaceDN/>
        <w:bidi w:val="0"/>
        <w:spacing w:line="240" w:lineRule="auto"/>
        <w:ind w:firstLine="66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（二）出租人向承租人收取租金以外的其他费用的；</w:t>
      </w:r>
    </w:p>
    <w:p>
      <w:pPr>
        <w:keepNext w:val="0"/>
        <w:keepLines w:val="0"/>
        <w:pageBreakBefore w:val="0"/>
        <w:widowControl/>
        <w:kinsoku/>
        <w:wordWrap/>
        <w:overflowPunct/>
        <w:autoSpaceDE/>
        <w:autoSpaceDN/>
        <w:bidi w:val="0"/>
        <w:spacing w:line="240" w:lineRule="auto"/>
        <w:ind w:firstLine="66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（三）出租人妨碍承租人正常合理使用房屋；</w:t>
      </w:r>
    </w:p>
    <w:p>
      <w:pPr>
        <w:keepNext w:val="0"/>
        <w:keepLines w:val="0"/>
        <w:pageBreakBefore w:val="0"/>
        <w:widowControl/>
        <w:kinsoku/>
        <w:wordWrap/>
        <w:overflowPunct/>
        <w:autoSpaceDE/>
        <w:autoSpaceDN/>
        <w:bidi w:val="0"/>
        <w:spacing w:line="240" w:lineRule="auto"/>
        <w:ind w:firstLine="66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（四）出租人没有按合同约定的责任负责检查、维修房屋及其设施，保证房屋安全的。</w:t>
      </w:r>
    </w:p>
    <w:p>
      <w:pPr>
        <w:keepNext w:val="0"/>
        <w:keepLines w:val="0"/>
        <w:pageBreakBefore w:val="0"/>
        <w:widowControl/>
        <w:kinsoku/>
        <w:wordWrap/>
        <w:overflowPunct/>
        <w:autoSpaceDE/>
        <w:autoSpaceDN/>
        <w:bidi w:val="0"/>
        <w:spacing w:line="240" w:lineRule="auto"/>
        <w:ind w:firstLine="66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第三十四条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承租人在征得出租人同意的情况下，可以转租租用的房屋。房屋转租的期限，不得超过原租赁合同剩余的期限。房屋转租应当签订转租合同，并按本条例的规定办理登记备案手续。</w:t>
      </w:r>
    </w:p>
    <w:p>
      <w:pPr>
        <w:keepNext w:val="0"/>
        <w:keepLines w:val="0"/>
        <w:pageBreakBefore w:val="0"/>
        <w:widowControl/>
        <w:kinsoku/>
        <w:wordWrap/>
        <w:overflowPunct/>
        <w:autoSpaceDE/>
        <w:autoSpaceDN/>
        <w:bidi w:val="0"/>
        <w:spacing w:line="240" w:lineRule="auto"/>
        <w:ind w:firstLine="660"/>
        <w:rPr>
          <w:rFonts w:hint="eastAsia" w:ascii="仿宋_GB2312" w:hAnsi="宋体" w:eastAsia="仿宋_GB2312" w:cs="宋体"/>
          <w:color w:val="000000" w:themeColor="text1"/>
          <w:kern w:val="0"/>
          <w:sz w:val="32"/>
          <w:szCs w:val="32"/>
          <w14:textFill>
            <w14:solidFill>
              <w14:schemeClr w14:val="tx1"/>
            </w14:solidFill>
          </w14:textFill>
        </w:rPr>
      </w:pP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黑体" w:hAnsi="Arial" w:eastAsia="黑体" w:cs="Arial"/>
          <w:bCs/>
          <w:color w:val="000000" w:themeColor="text1"/>
          <w:kern w:val="0"/>
          <w:sz w:val="32"/>
          <w:szCs w:val="32"/>
          <w14:textFill>
            <w14:solidFill>
              <w14:schemeClr w14:val="tx1"/>
            </w14:solidFill>
          </w14:textFill>
        </w:rPr>
      </w:pPr>
      <w:r>
        <w:rPr>
          <w:rFonts w:hint="eastAsia" w:ascii="黑体" w:hAnsi="Arial" w:eastAsia="黑体" w:cs="Arial"/>
          <w:bCs/>
          <w:color w:val="000000" w:themeColor="text1"/>
          <w:kern w:val="0"/>
          <w:sz w:val="32"/>
          <w:szCs w:val="32"/>
          <w14:textFill>
            <w14:solidFill>
              <w14:schemeClr w14:val="tx1"/>
            </w14:solidFill>
          </w14:textFill>
        </w:rPr>
        <w:t>第五章　法律责任</w:t>
      </w: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黑体" w:hAnsi="Arial" w:eastAsia="黑体" w:cs="Arial"/>
          <w:color w:val="000000" w:themeColor="text1"/>
          <w:kern w:val="0"/>
          <w:sz w:val="32"/>
          <w:szCs w:val="32"/>
          <w14:textFill>
            <w14:solidFill>
              <w14:schemeClr w14:val="tx1"/>
            </w14:solidFill>
          </w14:textFill>
        </w:rPr>
      </w:pPr>
    </w:p>
    <w:p>
      <w:pPr>
        <w:keepNext w:val="0"/>
        <w:keepLines w:val="0"/>
        <w:pageBreakBefore w:val="0"/>
        <w:widowControl/>
        <w:kinsoku/>
        <w:wordWrap/>
        <w:overflowPunct/>
        <w:autoSpaceDE/>
        <w:autoSpaceDN/>
        <w:bidi w:val="0"/>
        <w:spacing w:line="240" w:lineRule="auto"/>
        <w:ind w:firstLine="63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第三十五条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违反本条例第十九条、第二十二条、第三十一条规定未办理登记手续的，由市、县负责房地产交易的管理部门责令限期予以补办，并及时通知同级税务机关，经税务机关查实，房地产交易当事人偷税、逃税的，按照税收法律、法规处理。</w:t>
      </w:r>
    </w:p>
    <w:p>
      <w:pPr>
        <w:keepNext w:val="0"/>
        <w:keepLines w:val="0"/>
        <w:pageBreakBefore w:val="0"/>
        <w:widowControl/>
        <w:kinsoku/>
        <w:wordWrap/>
        <w:overflowPunct/>
        <w:autoSpaceDE/>
        <w:autoSpaceDN/>
        <w:bidi w:val="0"/>
        <w:spacing w:line="240" w:lineRule="auto"/>
        <w:ind w:firstLine="63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第三十六条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擅自预售商品房的，由市、县负责房地产交易的管理部门责令其限期补办预售许可手续；不符合条件预售的，责令其向购房者退还预售款，按有关法律、法规规定没收违法所得，可以并处已收取的预付款百分之一以下的罚款。</w:t>
      </w:r>
    </w:p>
    <w:p>
      <w:pPr>
        <w:keepNext w:val="0"/>
        <w:keepLines w:val="0"/>
        <w:pageBreakBefore w:val="0"/>
        <w:widowControl/>
        <w:kinsoku/>
        <w:wordWrap/>
        <w:overflowPunct/>
        <w:autoSpaceDE/>
        <w:autoSpaceDN/>
        <w:bidi w:val="0"/>
        <w:spacing w:line="240" w:lineRule="auto"/>
        <w:ind w:firstLine="63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第三十七条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妨碍负责房地产交易管理部门的工作人员执行公务，扰乱房地产交易市场秩序的，由公安机关按</w:t>
      </w:r>
      <w:r>
        <w:rPr>
          <w:rFonts w:hint="eastAsia" w:ascii="仿宋_GB2312" w:hAnsi="Arial" w:cs="Arial"/>
          <w:color w:val="000000" w:themeColor="text1"/>
          <w:kern w:val="0"/>
          <w:sz w:val="32"/>
          <w:szCs w:val="32"/>
          <w:shd w:val="clear" w:color="auto" w:fill="FFFFFF"/>
          <w:lang w:eastAsia="zh-CN"/>
          <w14:textFill>
            <w14:solidFill>
              <w14:schemeClr w14:val="tx1"/>
            </w14:solidFill>
          </w14:textFill>
        </w:rPr>
        <w:t>《</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治安管理处罚</w:t>
      </w:r>
      <w:r>
        <w:rPr>
          <w:rFonts w:hint="eastAsia" w:ascii="仿宋_GB2312" w:hAnsi="Arial" w:cs="Arial"/>
          <w:color w:val="000000" w:themeColor="text1"/>
          <w:kern w:val="0"/>
          <w:sz w:val="32"/>
          <w:szCs w:val="32"/>
          <w:shd w:val="clear" w:color="auto" w:fill="FFFFFF"/>
          <w:lang w:eastAsia="zh-CN"/>
          <w14:textFill>
            <w14:solidFill>
              <w14:schemeClr w14:val="tx1"/>
            </w14:solidFill>
          </w14:textFill>
        </w:rPr>
        <w:t>条例》</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处罚；构成犯罪的，依法追究刑事责任。</w:t>
      </w:r>
    </w:p>
    <w:p>
      <w:pPr>
        <w:keepNext w:val="0"/>
        <w:keepLines w:val="0"/>
        <w:pageBreakBefore w:val="0"/>
        <w:widowControl/>
        <w:kinsoku/>
        <w:wordWrap/>
        <w:overflowPunct/>
        <w:autoSpaceDE/>
        <w:autoSpaceDN/>
        <w:bidi w:val="0"/>
        <w:spacing w:line="240" w:lineRule="auto"/>
        <w:ind w:firstLine="63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第三十八条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当事人对处罚决定不服的，可以依法申请复议或提起诉讼。</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第三十九条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负责房地产交易管理部门的工作人员玩忽职守、滥用职权，构成犯罪的，依法追究刑事责任；不构成犯罪的，给予行政处分。</w:t>
      </w:r>
    </w:p>
    <w:p>
      <w:pPr>
        <w:keepNext w:val="0"/>
        <w:keepLines w:val="0"/>
        <w:pageBreakBefore w:val="0"/>
        <w:widowControl/>
        <w:kinsoku/>
        <w:wordWrap/>
        <w:overflowPunct/>
        <w:autoSpaceDE/>
        <w:autoSpaceDN/>
        <w:bidi w:val="0"/>
        <w:spacing w:line="240" w:lineRule="auto"/>
        <w:ind w:firstLine="63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负责房地产交易管理部门的工作人员利用职务上的便利、索取他人财物，或者非法收受他人财物为他人谋取利益，构成犯罪的，依法追究刑事责任；不构成犯罪的，给予行政处分。</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宋体"/>
          <w:color w:val="000000" w:themeColor="text1"/>
          <w:kern w:val="0"/>
          <w:sz w:val="32"/>
          <w:szCs w:val="32"/>
          <w14:textFill>
            <w14:solidFill>
              <w14:schemeClr w14:val="tx1"/>
            </w14:solidFill>
          </w14:textFill>
        </w:rPr>
      </w:pP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黑体" w:hAnsi="Arial" w:eastAsia="黑体" w:cs="Arial"/>
          <w:bCs/>
          <w:color w:val="000000" w:themeColor="text1"/>
          <w:kern w:val="0"/>
          <w:sz w:val="32"/>
          <w:szCs w:val="32"/>
          <w14:textFill>
            <w14:solidFill>
              <w14:schemeClr w14:val="tx1"/>
            </w14:solidFill>
          </w14:textFill>
        </w:rPr>
      </w:pPr>
      <w:r>
        <w:rPr>
          <w:rFonts w:hint="eastAsia" w:ascii="黑体" w:hAnsi="Arial" w:eastAsia="黑体" w:cs="Arial"/>
          <w:bCs/>
          <w:color w:val="000000" w:themeColor="text1"/>
          <w:kern w:val="0"/>
          <w:sz w:val="32"/>
          <w:szCs w:val="32"/>
          <w14:textFill>
            <w14:solidFill>
              <w14:schemeClr w14:val="tx1"/>
            </w14:solidFill>
          </w14:textFill>
        </w:rPr>
        <w:t>第六章　附  则</w:t>
      </w: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黑体" w:hAnsi="Arial" w:eastAsia="黑体" w:cs="Arial"/>
          <w:color w:val="000000" w:themeColor="text1"/>
          <w:kern w:val="0"/>
          <w:sz w:val="32"/>
          <w:szCs w:val="32"/>
          <w14:textFill>
            <w14:solidFill>
              <w14:schemeClr w14:val="tx1"/>
            </w14:solidFill>
          </w14:textFill>
        </w:rPr>
      </w:pPr>
    </w:p>
    <w:p>
      <w:pPr>
        <w:keepNext w:val="0"/>
        <w:keepLines w:val="0"/>
        <w:pageBreakBefore w:val="0"/>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第四十条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市、县负责房地产交易的管理部门应当建立健全固定的房地产交易场所。</w:t>
      </w:r>
    </w:p>
    <w:p>
      <w:pPr>
        <w:keepNext w:val="0"/>
        <w:keepLines w:val="0"/>
        <w:pageBreakBefore w:val="0"/>
        <w:kinsoku/>
        <w:wordWrap/>
        <w:overflowPunct/>
        <w:autoSpaceDE/>
        <w:autoSpaceDN/>
        <w:bidi w:val="0"/>
        <w:spacing w:line="240" w:lineRule="auto"/>
        <w:ind w:firstLine="63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县级以上地方人民政府应当组织有关部门进驻房地产交易场所，实行“一站式”服务，接受社会监督，保护当事人的合法权益。</w:t>
      </w:r>
    </w:p>
    <w:p>
      <w:pPr>
        <w:keepNext w:val="0"/>
        <w:keepLines w:val="0"/>
        <w:pageBreakBefore w:val="0"/>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第四十一条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房地产交易收费应当按国家和省有关收费标准收取。未向当事人提供交易服务的，不得收取任何费用。</w:t>
      </w:r>
    </w:p>
    <w:p>
      <w:pPr>
        <w:keepNext w:val="0"/>
        <w:keepLines w:val="0"/>
        <w:pageBreakBefore w:val="0"/>
        <w:kinsoku/>
        <w:wordWrap/>
        <w:overflowPunct/>
        <w:autoSpaceDE/>
        <w:autoSpaceDN/>
        <w:bidi w:val="0"/>
        <w:spacing w:line="240" w:lineRule="auto"/>
        <w:ind w:firstLine="63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房地产交易中介服务机构的具体管理办法由省人民政府制定。</w:t>
      </w:r>
    </w:p>
    <w:p>
      <w:pPr>
        <w:keepNext w:val="0"/>
        <w:keepLines w:val="0"/>
        <w:pageBreakBefore w:val="0"/>
        <w:kinsoku/>
        <w:wordWrap/>
        <w:overflowPunct/>
        <w:autoSpaceDE/>
        <w:autoSpaceDN/>
        <w:bidi w:val="0"/>
        <w:spacing w:line="240" w:lineRule="auto"/>
        <w:ind w:firstLine="630"/>
        <w:rPr>
          <w:rFonts w:hint="eastAsia"/>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第四十二条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本条例自2000年12月1日起施行。</w:t>
      </w:r>
      <w:bookmarkStart w:id="0" w:name="_GoBack"/>
      <w:bookmarkEnd w:id="0"/>
    </w:p>
    <w:sectPr>
      <w:footerReference r:id="rId3" w:type="default"/>
      <w:footerReference r:id="rId4" w:type="even"/>
      <w:pgSz w:w="11906" w:h="16838"/>
      <w:pgMar w:top="2013" w:right="1474" w:bottom="1899" w:left="1588" w:header="851" w:footer="1037" w:gutter="0"/>
      <w:cols w:space="720" w:num="1"/>
      <w:docGrid w:type="linesAndChars" w:linePitch="590" w:charSpace="12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方正黑体_GBK">
    <w:altName w:val="黑体"/>
    <w:panose1 w:val="02000000000000000000"/>
    <w:charset w:val="86"/>
    <w:family w:val="auto"/>
    <w:pitch w:val="default"/>
    <w:sig w:usb0="00000000" w:usb1="0000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方正大标宋简体">
    <w:panose1 w:val="02010601030101010101"/>
    <w:charset w:val="86"/>
    <w:family w:val="auto"/>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方正小标宋简体">
    <w:panose1 w:val="03000509000000000000"/>
    <w:charset w:val="86"/>
    <w:family w:val="script"/>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方正楷体简体">
    <w:panose1 w:val="03000509000000000000"/>
    <w:charset w:val="86"/>
    <w:family w:val="script"/>
    <w:pitch w:val="default"/>
    <w:sig w:usb0="00000001" w:usb1="080E0000" w:usb2="00000000" w:usb3="00000000" w:csb0="00040000" w:csb1="00000000"/>
  </w:font>
  <w:font w:name="楷体">
    <w:panose1 w:val="02010609060101010101"/>
    <w:charset w:val="86"/>
    <w:family w:val="modern"/>
    <w:pitch w:val="default"/>
    <w:sig w:usb0="800002BF" w:usb1="38CF7CFA" w:usb2="00000016" w:usb3="00000000" w:csb0="00040001" w:csb1="00000000"/>
  </w:font>
  <w:font w:name="_x000B_">
    <w:altName w:val="Times New Roman"/>
    <w:panose1 w:val="00000000000000000000"/>
    <w:charset w:val="00"/>
    <w:family w:val="roman"/>
    <w:pitch w:val="default"/>
    <w:sig w:usb0="00000000" w:usb1="00000000" w:usb2="00000000" w:usb3="00000000" w:csb0="00040001" w:csb1="00000000"/>
  </w:font>
  <w:font w:name="Arial Narrow">
    <w:panose1 w:val="020B0606020202030204"/>
    <w:charset w:val="00"/>
    <w:family w:val="swiss"/>
    <w:pitch w:val="default"/>
    <w:sig w:usb0="00000287" w:usb1="00000800" w:usb2="00000000" w:usb3="00000000" w:csb0="2000009F" w:csb1="DFD70000"/>
  </w:font>
  <w:font w:name="方正仿宋_GBK">
    <w:altName w:val="Arial Unicode MS"/>
    <w:panose1 w:val="03000509000000000000"/>
    <w:charset w:val="86"/>
    <w:family w:val="script"/>
    <w:pitch w:val="default"/>
    <w:sig w:usb0="00000000" w:usb1="00000000" w:usb2="00000010" w:usb3="00000000" w:csb0="00040000" w:csb1="00000000"/>
  </w:font>
  <w:font w:name="Arial Black">
    <w:panose1 w:val="020B0A04020102020204"/>
    <w:charset w:val="00"/>
    <w:family w:val="swiss"/>
    <w:pitch w:val="default"/>
    <w:sig w:usb0="00000287" w:usb1="00000000" w:usb2="00000000" w:usb3="00000000" w:csb0="2000009F" w:csb1="DFD70000"/>
  </w:font>
  <w:font w:name="Courier New">
    <w:panose1 w:val="02070309020205020404"/>
    <w:charset w:val="00"/>
    <w:family w:val="modern"/>
    <w:pitch w:val="default"/>
    <w:sig w:usb0="E0002AFF" w:usb1="C0007843" w:usb2="00000009" w:usb3="00000000" w:csb0="400001FF" w:csb1="FFFF0000"/>
  </w:font>
  <w:font w:name="ˎ̥">
    <w:altName w:val="Times New Roman"/>
    <w:panose1 w:val="00000000000000000000"/>
    <w:charset w:val="00"/>
    <w:family w:val="roman"/>
    <w:pitch w:val="default"/>
    <w:sig w:usb0="00000000" w:usb1="00000000" w:usb2="00000000" w:usb3="00000000" w:csb0="00040001" w:csb1="00000000"/>
  </w:font>
  <w:font w:name="华文细黑">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ˎ̥,Verdana,Arial">
    <w:altName w:val="Arial Unicode MS"/>
    <w:panose1 w:val="00000000000000000000"/>
    <w:charset w:val="00"/>
    <w:family w:val="roman"/>
    <w:pitch w:val="default"/>
    <w:sig w:usb0="00000000" w:usb1="00000000" w:usb2="00000000" w:usb3="00000000" w:csb0="00040001" w:csb1="00000000"/>
  </w:font>
  <w:font w:name="方正舒体">
    <w:panose1 w:val="02010601030101010101"/>
    <w:charset w:val="86"/>
    <w:family w:val="auto"/>
    <w:pitch w:val="default"/>
    <w:sig w:usb0="00000003" w:usb1="080E0000" w:usb2="00000000" w:usb3="00000000" w:csb0="00040000" w:csb1="00000000"/>
  </w:font>
  <w:font w:name="..">
    <w:altName w:val="Arial Unicode MS"/>
    <w:panose1 w:val="00000000000000000000"/>
    <w:charset w:val="00"/>
    <w:family w:val="roman"/>
    <w:pitch w:val="default"/>
    <w:sig w:usb0="00000000" w:usb1="00000000" w:usb2="00000000" w:usb3="00000000" w:csb0="00040001" w:csb1="00000000"/>
  </w:font>
  <w:font w:name="Batang">
    <w:panose1 w:val="02030600000101010101"/>
    <w:charset w:val="81"/>
    <w:family w:val="roman"/>
    <w:pitch w:val="default"/>
    <w:sig w:usb0="B00002AF" w:usb1="69D77CFB" w:usb2="00000030" w:usb3="00000000" w:csb0="4008009F" w:csb1="DFD70000"/>
  </w:font>
  <w:font w:name="华文仿宋">
    <w:panose1 w:val="02010600040101010101"/>
    <w:charset w:val="86"/>
    <w:family w:val="auto"/>
    <w:pitch w:val="default"/>
    <w:sig w:usb0="00000287" w:usb1="080F0000" w:usb2="00000000" w:usb3="00000000" w:csb0="0004009F" w:csb1="DFD70000"/>
  </w:font>
  <w:font w:name="新宋体">
    <w:panose1 w:val="02010609030101010101"/>
    <w:charset w:val="86"/>
    <w:family w:val="modern"/>
    <w:pitch w:val="default"/>
    <w:sig w:usb0="00000003" w:usb1="288F0000" w:usb2="00000006" w:usb3="00000000" w:csb0="00040001" w:csb1="00000000"/>
  </w:font>
  <w:font w:name="仿宋">
    <w:panose1 w:val="02010609060101010101"/>
    <w:charset w:val="86"/>
    <w:family w:val="modern"/>
    <w:pitch w:val="default"/>
    <w:sig w:usb0="800002BF" w:usb1="38CF7CFA" w:usb2="00000016" w:usb3="00000000" w:csb0="00040001" w:csb1="00000000"/>
  </w:font>
  <w:font w:name="宋体-18030">
    <w:altName w:val="Arial Unicode MS"/>
    <w:panose1 w:val="00000000000000000000"/>
    <w:charset w:val="86"/>
    <w:family w:val="roman"/>
    <w:pitch w:val="default"/>
    <w:sig w:usb0="00000000" w:usb1="00000000" w:usb2="00000010" w:usb3="00000000" w:csb0="00040000" w:csb1="00000000"/>
  </w:font>
  <w:font w:name="Arial Unicode MS">
    <w:panose1 w:val="020B0604020202020204"/>
    <w:charset w:val="86"/>
    <w:family w:val="auto"/>
    <w:pitch w:val="default"/>
    <w:sig w:usb0="FFFFFFFF" w:usb1="E9FFFFFF" w:usb2="0000003F" w:usb3="00000000" w:csb0="603F01FF" w:csb1="FFFF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方正书宋简体">
    <w:panose1 w:val="02010601030101010101"/>
    <w:charset w:val="86"/>
    <w:family w:val="auto"/>
    <w:pitch w:val="default"/>
    <w:sig w:usb0="00000001" w:usb1="080E0000" w:usb2="00000000" w:usb3="00000000" w:csb0="00040000" w:csb1="00000000"/>
  </w:font>
  <w:font w:name="方正兰亭超细黑简体">
    <w:panose1 w:val="02000000000000000000"/>
    <w:charset w:val="86"/>
    <w:family w:val="auto"/>
    <w:pitch w:val="default"/>
    <w:sig w:usb0="00000001" w:usb1="08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姚体简体">
    <w:panose1 w:val="03000509000000000000"/>
    <w:charset w:val="86"/>
    <w:family w:val="auto"/>
    <w:pitch w:val="default"/>
    <w:sig w:usb0="00000001" w:usb1="080E0000" w:usb2="00000000" w:usb3="00000000" w:csb0="00040000" w:csb1="00000000"/>
  </w:font>
  <w:font w:name="方正行楷简体">
    <w:panose1 w:val="02010601030101010101"/>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BatangChe">
    <w:panose1 w:val="02030609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 w:name="Dotu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GungsuhChe">
    <w:panose1 w:val="02030609000101010101"/>
    <w:charset w:val="81"/>
    <w:family w:val="auto"/>
    <w:pitch w:val="default"/>
    <w:sig w:usb0="B00002AF" w:usb1="69D77CFB" w:usb2="00000030" w:usb3="00000000" w:csb0="4008009F" w:csb1="DFD70000"/>
  </w:font>
  <w:font w:name="Malgun Gothic">
    <w:panose1 w:val="020B0503020000020004"/>
    <w:charset w:val="81"/>
    <w:family w:val="auto"/>
    <w:pitch w:val="default"/>
    <w:sig w:usb0="900002AF" w:usb1="01D77CFB" w:usb2="00000012" w:usb3="00000000" w:csb0="00080001" w:csb1="00000000"/>
  </w:font>
  <w:font w:name="Meiryo">
    <w:panose1 w:val="020B0604030504040204"/>
    <w:charset w:val="80"/>
    <w:family w:val="auto"/>
    <w:pitch w:val="default"/>
    <w:sig w:usb0="E10102FF" w:usb1="EAC7FFFF" w:usb2="00010012" w:usb3="00000000" w:csb0="6002009F" w:csb1="DFD70000"/>
  </w:font>
  <w:font w:name="Microsoft JhengHei">
    <w:panose1 w:val="020B0604030504040204"/>
    <w:charset w:val="88"/>
    <w:family w:val="auto"/>
    <w:pitch w:val="default"/>
    <w:sig w:usb0="00000087" w:usb1="28AF4000" w:usb2="00000016" w:usb3="00000000" w:csb0="00100009" w:csb1="00000000"/>
  </w:font>
  <w:font w:name="Meiryo UI">
    <w:panose1 w:val="020B0604030504040204"/>
    <w:charset w:val="80"/>
    <w:family w:val="auto"/>
    <w:pitch w:val="default"/>
    <w:sig w:usb0="E10102FF" w:usb1="EAC7FFFF" w:usb2="00010012" w:usb3="00000000" w:csb0="6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spacing w:line="478" w:lineRule="auto"/>
      <w:ind w:right="308" w:rightChars="100"/>
      <w:jc w:val="right"/>
      <w:rPr>
        <w:rFonts w:hint="eastAsia" w:ascii="楷体_GB2312" w:eastAsia="楷体_GB2312"/>
        <w:sz w:val="28"/>
      </w:rPr>
    </w:pPr>
    <w:r>
      <w:rPr>
        <w:rStyle w:val="5"/>
        <w:rFonts w:hint="eastAsia" w:ascii="宋体" w:hAnsi="宋体" w:eastAsia="宋体"/>
        <w:sz w:val="28"/>
      </w:rPr>
      <w:t xml:space="preserve">— </w:t>
    </w:r>
    <w:r>
      <w:rPr>
        <w:rFonts w:hint="eastAsia" w:ascii="宋体" w:hAnsi="宋体" w:eastAsia="宋体" w:cs="宋体"/>
        <w:sz w:val="28"/>
        <w:szCs w:val="28"/>
      </w:rPr>
      <w:fldChar w:fldCharType="begin"/>
    </w:r>
    <w:r>
      <w:rPr>
        <w:rStyle w:val="5"/>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t>1</w:t>
    </w:r>
    <w:r>
      <w:rPr>
        <w:rFonts w:hint="eastAsia" w:ascii="宋体" w:hAnsi="宋体" w:eastAsia="宋体" w:cs="宋体"/>
        <w:sz w:val="28"/>
        <w:szCs w:val="28"/>
      </w:rPr>
      <w:fldChar w:fldCharType="end"/>
    </w:r>
    <w:r>
      <w:rPr>
        <w:rFonts w:hint="eastAsia" w:ascii="宋体" w:hAnsi="宋体" w:eastAsia="宋体"/>
        <w:sz w:val="28"/>
      </w:rPr>
      <w:t xml:space="preserve"> </w:t>
    </w:r>
    <w:r>
      <w:rPr>
        <w:rStyle w:val="5"/>
        <w:rFonts w:hint="eastAsia" w:ascii="宋体" w:hAnsi="宋体" w:eastAsia="宋体"/>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spacing w:line="471" w:lineRule="auto"/>
      <w:ind w:left="308" w:leftChars="100"/>
      <w:jc w:val="left"/>
      <w:rPr>
        <w:rStyle w:val="5"/>
        <w:rFonts w:hint="eastAsia" w:ascii="宋体" w:hAnsi="宋体" w:eastAsia="宋体"/>
        <w:sz w:val="28"/>
      </w:rPr>
    </w:pPr>
    <w:r>
      <w:rPr>
        <w:rStyle w:val="5"/>
        <w:rFonts w:hint="eastAsia" w:ascii="宋体" w:hAnsi="宋体" w:eastAsia="宋体"/>
        <w:sz w:val="28"/>
      </w:rPr>
      <w:t xml:space="preserve">— </w:t>
    </w:r>
    <w:r>
      <w:rPr>
        <w:rFonts w:hint="eastAsia" w:ascii="宋体" w:hAnsi="宋体" w:eastAsia="宋体"/>
        <w:sz w:val="28"/>
      </w:rPr>
      <w:fldChar w:fldCharType="begin"/>
    </w:r>
    <w:r>
      <w:rPr>
        <w:rStyle w:val="5"/>
        <w:rFonts w:hint="eastAsia" w:ascii="宋体" w:hAnsi="宋体" w:eastAsia="宋体"/>
        <w:sz w:val="28"/>
      </w:rPr>
      <w:instrText xml:space="preserve"> PAGE </w:instrText>
    </w:r>
    <w:r>
      <w:rPr>
        <w:rFonts w:hint="eastAsia" w:ascii="宋体" w:hAnsi="宋体" w:eastAsia="宋体"/>
        <w:sz w:val="28"/>
      </w:rPr>
      <w:fldChar w:fldCharType="separate"/>
    </w:r>
    <w:r>
      <w:rPr>
        <w:rStyle w:val="5"/>
        <w:rFonts w:ascii="宋体" w:hAnsi="宋体" w:eastAsia="宋体"/>
        <w:sz w:val="28"/>
      </w:rPr>
      <w:t>2</w:t>
    </w:r>
    <w:r>
      <w:rPr>
        <w:rFonts w:hint="eastAsia" w:ascii="宋体" w:hAnsi="宋体" w:eastAsia="宋体"/>
        <w:sz w:val="28"/>
      </w:rPr>
      <w:fldChar w:fldCharType="end"/>
    </w:r>
    <w:r>
      <w:rPr>
        <w:rFonts w:hint="eastAsia" w:ascii="宋体" w:hAnsi="宋体" w:eastAsia="宋体"/>
        <w:sz w:val="28"/>
      </w:rPr>
      <w:t xml:space="preserve"> </w:t>
    </w:r>
    <w:r>
      <w:rPr>
        <w:rStyle w:val="5"/>
        <w:rFonts w:hint="eastAsia" w:ascii="宋体" w:hAnsi="宋体" w:eastAsia="宋体"/>
        <w:sz w:val="28"/>
      </w:rPr>
      <w: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tentative="0">
      <w:start w:val="1"/>
      <w:numFmt w:val="chineseCountingThousand"/>
      <w:pStyle w:val="10"/>
      <w:suff w:val="space"/>
      <w:lvlText w:val="第%1章"/>
      <w:lvlJc w:val="left"/>
      <w:pPr>
        <w:ind w:left="0" w:firstLine="454"/>
      </w:pPr>
      <w:rPr>
        <w:rFonts w:hint="eastAsia" w:eastAsia="方正黑体_GBK"/>
        <w:color w:val="auto"/>
      </w:rPr>
    </w:lvl>
    <w:lvl w:ilvl="1" w:tentative="0">
      <w:start w:val="1"/>
      <w:numFmt w:val="chineseCountingThousand"/>
      <w:suff w:val="space"/>
      <w:lvlText w:val="第%2条"/>
      <w:lvlJc w:val="left"/>
      <w:pPr>
        <w:ind w:left="0" w:firstLine="0"/>
      </w:pPr>
      <w:rPr>
        <w:rFonts w:hint="eastAsia" w:eastAsia="方正黑体_GBK"/>
        <w:color w:val="auto"/>
      </w:rPr>
    </w:lvl>
    <w:lvl w:ilvl="2" w:tentative="0">
      <w:start w:val="1"/>
      <w:numFmt w:val="chineseCountingThousand"/>
      <w:suff w:val="space"/>
      <w:lvlText w:val="第%3条"/>
      <w:lvlJc w:val="left"/>
      <w:pPr>
        <w:ind w:left="0" w:firstLine="454"/>
      </w:pPr>
      <w:rPr>
        <w:rFonts w:hint="eastAsia"/>
        <w:color w:val="auto"/>
      </w:rPr>
    </w:lvl>
    <w:lvl w:ilvl="3" w:tentative="0">
      <w:start w:val="1"/>
      <w:numFmt w:val="chineseCountingThousand"/>
      <w:suff w:val="space"/>
      <w:lvlText w:val="（%4）"/>
      <w:lvlJc w:val="left"/>
      <w:pPr>
        <w:ind w:left="0" w:firstLine="340"/>
      </w:pPr>
      <w:rPr>
        <w:rFonts w:hint="eastAsia"/>
        <w:color w:val="auto"/>
      </w:rPr>
    </w:lvl>
    <w:lvl w:ilvl="4" w:tentative="0">
      <w:start w:val="1"/>
      <w:numFmt w:val="decimal"/>
      <w:suff w:val="space"/>
      <w:lvlText w:val="%5．"/>
      <w:lvlJc w:val="left"/>
      <w:pPr>
        <w:ind w:left="0" w:firstLine="454"/>
      </w:pPr>
      <w:rPr>
        <w:rFonts w:hint="eastAsia"/>
        <w:color w:val="auto"/>
      </w:rPr>
    </w:lvl>
    <w:lvl w:ilvl="5" w:tentative="0">
      <w:start w:val="1"/>
      <w:numFmt w:val="decimal"/>
      <w:suff w:val="space"/>
      <w:lvlText w:val="（%6）"/>
      <w:lvlJc w:val="left"/>
      <w:pPr>
        <w:ind w:left="0" w:firstLine="340"/>
      </w:pPr>
      <w:rPr>
        <w:rFonts w:hint="eastAsia"/>
        <w:color w:val="auto"/>
      </w:rPr>
    </w:lvl>
    <w:lvl w:ilvl="6" w:tentative="0">
      <w:start w:val="1"/>
      <w:numFmt w:val="decimalEnclosedCircle"/>
      <w:suff w:val="space"/>
      <w:lvlText w:val="%7 "/>
      <w:lvlJc w:val="left"/>
      <w:pPr>
        <w:ind w:left="0" w:firstLine="454"/>
      </w:pPr>
      <w:rPr>
        <w:rFonts w:hint="eastAsia"/>
        <w:color w:val="auto"/>
      </w:rPr>
    </w:lvl>
    <w:lvl w:ilvl="7" w:tentative="0">
      <w:start w:val="1"/>
      <w:numFmt w:val="decimal"/>
      <w:suff w:val="space"/>
      <w:lvlText w:val="%8）"/>
      <w:lvlJc w:val="left"/>
      <w:pPr>
        <w:ind w:left="0" w:firstLine="454"/>
      </w:pPr>
      <w:rPr>
        <w:rFonts w:hint="eastAsia"/>
        <w:color w:val="auto"/>
      </w:rPr>
    </w:lvl>
    <w:lvl w:ilvl="8" w:tentative="0">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attachedTemplate r:id="rId1"/>
  <w:documentProtection w:enforcement="0"/>
  <w:defaultTabStop w:val="720"/>
  <w:hyphenationZone w:val="360"/>
  <w:evenAndOddHeaders w:val="1"/>
  <w:drawingGridHorizontalSpacing w:val="308"/>
  <w:drawingGridVerticalSpacing w:val="295"/>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0FE0082F"/>
    <w:rsid w:val="00071F92"/>
    <w:rsid w:val="001B173E"/>
    <w:rsid w:val="00A0649E"/>
    <w:rsid w:val="00C26BE1"/>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8C767F"/>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3D01B52"/>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617677"/>
    <w:rsid w:val="3C566319"/>
    <w:rsid w:val="3C5F7F6C"/>
    <w:rsid w:val="3C844E55"/>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DE5A48"/>
    <w:rsid w:val="49EB253B"/>
    <w:rsid w:val="4A1168ED"/>
    <w:rsid w:val="4ADF5065"/>
    <w:rsid w:val="4B4C4A6E"/>
    <w:rsid w:val="4B5B2430"/>
    <w:rsid w:val="4B5C3509"/>
    <w:rsid w:val="4C0B6D51"/>
    <w:rsid w:val="4C883D5B"/>
    <w:rsid w:val="4E226030"/>
    <w:rsid w:val="4EFD438E"/>
    <w:rsid w:val="4F047901"/>
    <w:rsid w:val="50DA6634"/>
    <w:rsid w:val="510C4885"/>
    <w:rsid w:val="514A2C7F"/>
    <w:rsid w:val="51C904BB"/>
    <w:rsid w:val="52567F7A"/>
    <w:rsid w:val="53381997"/>
    <w:rsid w:val="537B3DF2"/>
    <w:rsid w:val="54A50AC7"/>
    <w:rsid w:val="554A5BD2"/>
    <w:rsid w:val="5634122E"/>
    <w:rsid w:val="5690074F"/>
    <w:rsid w:val="56965D1B"/>
    <w:rsid w:val="57215AFC"/>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953DDE"/>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 w:val="E8DDC30C"/>
    <w:rsid w:val="EE7F5BE4"/>
    <w:rsid w:val="EFFCBC21"/>
    <w:rsid w:val="FFF57E51"/>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qFormat="1"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jc w:val="both"/>
    </w:pPr>
    <w:rPr>
      <w:rFonts w:ascii="Times New Roman" w:hAnsi="Times New Roman" w:eastAsia="仿宋_GB2312" w:cs="Times New Roman"/>
      <w:spacing w:val="-6"/>
      <w:kern w:val="2"/>
      <w:sz w:val="32"/>
      <w:lang w:val="en-US" w:eastAsia="zh-CN" w:bidi="ar-SA"/>
    </w:rPr>
  </w:style>
  <w:style w:type="character" w:default="1" w:styleId="4">
    <w:name w:val="Default Paragraph Font"/>
    <w:qFormat/>
    <w:uiPriority w:val="0"/>
  </w:style>
  <w:style w:type="table" w:default="1" w:styleId="9">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3">
    <w:name w:val="head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character" w:styleId="5">
    <w:name w:val="page number"/>
    <w:basedOn w:val="4"/>
    <w:qFormat/>
    <w:uiPriority w:val="0"/>
  </w:style>
  <w:style w:type="character" w:styleId="6">
    <w:name w:val="FollowedHyperlink"/>
    <w:basedOn w:val="4"/>
    <w:qFormat/>
    <w:uiPriority w:val="0"/>
    <w:rPr>
      <w:color w:val="800080"/>
      <w:sz w:val="18"/>
      <w:szCs w:val="18"/>
      <w:u w:val="none"/>
    </w:rPr>
  </w:style>
  <w:style w:type="character" w:styleId="7">
    <w:name w:val="line number"/>
    <w:basedOn w:val="4"/>
    <w:qFormat/>
    <w:uiPriority w:val="0"/>
  </w:style>
  <w:style w:type="character" w:styleId="8">
    <w:name w:val="Hyperlink"/>
    <w:basedOn w:val="4"/>
    <w:qFormat/>
    <w:uiPriority w:val="0"/>
    <w:rPr>
      <w:color w:val="0000FF"/>
      <w:sz w:val="18"/>
      <w:szCs w:val="18"/>
      <w:u w:val="none"/>
    </w:rPr>
  </w:style>
  <w:style w:type="paragraph" w:customStyle="1" w:styleId="10">
    <w:name w:val="居中"/>
    <w:basedOn w:val="1"/>
    <w:qFormat/>
    <w:uiPriority w:val="0"/>
    <w:pPr>
      <w:numPr>
        <w:ilvl w:val="0"/>
        <w:numId w:val="1"/>
      </w:numPr>
    </w:pPr>
  </w:style>
  <w:style w:type="paragraph" w:customStyle="1" w:styleId="11">
    <w:name w:val="列出段落"/>
    <w:basedOn w:val="1"/>
    <w:qFormat/>
    <w:uiPriority w:val="0"/>
    <w:pPr>
      <w:ind w:firstLine="420" w:firstLineChars="200"/>
    </w:pPr>
  </w:style>
  <w:style w:type="character" w:customStyle="1" w:styleId="12">
    <w:name w:val="red"/>
    <w:basedOn w:val="4"/>
    <w:qFormat/>
    <w:uiPriority w:val="0"/>
    <w:rPr>
      <w:color w:val="FF0000"/>
      <w:sz w:val="21"/>
      <w:szCs w:val="21"/>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Pages>1</Pages>
  <Words>616</Words>
  <Characters>616</Characters>
  <Lines>4</Lines>
  <Paragraphs>1</Paragraphs>
  <ScaleCrop>false</ScaleCrop>
  <LinksUpToDate>false</LinksUpToDate>
  <CharactersWithSpaces>616</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2016-12-16T00:10:00Z</dcterms:created>
  <dc:creator>shy</dc:creator>
  <cp:lastModifiedBy>shy</cp:lastModifiedBy>
  <dcterms:modified xsi:type="dcterms:W3CDTF">2017-11-14T08:11:11Z</dcterms:modified>
  <dc:title>No:0000001</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y fmtid="{D5CDD505-2E9C-101B-9397-08002B2CF9AE}" pid="3" name="公文模板版本">
    <vt:lpwstr>20160721</vt:lpwstr>
  </property>
</Properties>
</file>