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安徽省建设工程造价管理条例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（2014年8月21日安徽省第十二届人民代表大会常务委员会第十三次会议通过　根据2022年3月25日安徽省第十三届人民代表大会常务委员会第三十三次会议《关于修改和废止部分地方性法规的决定》修正）</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工程造价的编制和确定</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工程造价控制</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工程造价咨询</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规范建设工程造价管理，合理确定和有效控制建设工程造价，保障建设工程质量和安全，维护建设工程当事人的合法权益，根据《中华人民共和国建筑法》和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本条例适用于本省行政区域内建设工程造价管理与监督活动。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本条例所称建设工程造价，是指建设工程从筹建到交付使用期间，因工程建设活动所需发生的费用，包括项目前期费、建筑安装工程费、设备购置费及其他相关费用。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建设工程造价的编制、确定、控制和咨询服务，应当遵循合法、客观、公正、诚信的原则，不得损害公共利益和他人的合法权益。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县级以上人民政府住房和城乡建设行政主管部门（以下简称建设主管部门）负责本行政区域内建设工程造价的管理监督。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省及设区的市人民政府建设主管部门所属的建设工程造价管理机构（以下简称工程造价管理机构）具体负责建设工程造价的管理工作。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县级以上人民政府发展改革、财政、审计等部门按照各自职责做好建设工程造价管理监督的相关工作。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工程造价的编制和确定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编制建设工程造价，依据下列规范、指标、定额、价格信息进行：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（一）工程量清单计价规范；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（二）投资估算指标、设计概算定额、施工图预算定额、工程费用定额、工期定额；</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（三）人工、材料、设备、施工机械台班等市场价格信息；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（四）企业定额；</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（五）国家和省规定的其他依据。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前款第一项、第二项由省人民政府建设主管部门制定发布，第三项由设区的市工程造价管理机构发布。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项目建议书编写和可行性研究阶段应当编制投资估算。投资估算应当根据建设项目的规模、标准、技术条件、工期等，按照编制期的计价依据以及建设期间的价格、利率、汇率变化等因素编制。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初步设计阶段应当编制设计概算。设计概算应当依据初步设计和概算定额等计价依据以及建设期间价格、利率、汇率等因素编制。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使用国有资金的建设工程，应当采用工程量清单的计价方式；非国有资金投资的建设工程，鼓励采用工程量清单的计价方式。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使用国有资金的建设工程招标，招标人应当设置并公布最高投标限价。非国有资金投资的建设工程招标，招标人可以设置并公布最高投标限价或者招标标底。公布的最高投标限价，应当包括总价和各单位工程的分部分项工程费、措施项目费、其他项目费、不可竞争性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最高投标限价及其成果文件，应当在最高投标限价公布前，由招标人送工程所在地建设主管部门备案。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投标报价不得低于工程成本，不得高于最高投标限价。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投标报价低于工程成本或者高于最高投标限价的，评标委员会应当否决投标人的投标。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对是否低于工程成本报价的异议，评标委员会参照国家和省人民政府建设主管部门的规定评审。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招标的建设工程，合同价按照中标价格确定。发包方与承包方不得订立背离招投标文件实质性内容的其他协议。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不实行招标的工程由发包方、承包方协商确定合同价。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工程造价管理机构应当建立工程造价数据库，定期发布市政基础设施、保障性住房、公共建筑等工程造价指标、指数，为投资决策提供服务。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工程造价控制</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建设工程按照建设程序，实行全过程工程造价控制，以投资估算控制设计概算，以设计概算控制施工图预算，以施工图预算控制工程结算。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使用国有资金的建设工程，投资估算、设计概算经项目审批部门批准后，建设、设计单位不得擅自扩大建设规模、增加建设内容、提高建设标准。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工程建设中确需调整的，应当在调整前报经原审批部门批准。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承包方应当按照合同约定向发包方提交已完成工程量报告。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发包方收到工程量报告后，应当按照合同约定及时核对并确认。逾期未核对并确认的，承包方申报的工程量视为被认可。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发包方与承包方没有约定工程量核对确认办法的，按照建设工程清单计价规范等执行。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发包方与承包方应当按照合同约定，定期或者按照工程进度分段进行工程款结算和支付。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发包方支付工程款时，应当将相应的建筑务工人工费、安全文明施工费转入承包方在银行开立的专户。承包方应当及时支付建筑务工人员工资，落实安全文明施工措施。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因工程变更、现场签证等需要调整合同价款的，发包方与承包方应当按照合同约定的条件和程序进行调整；合同没有约定的，按照建设工程清单计价规范等调整。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建设工程施工工期应当按照工期定额和工程实际合理确定，不得无故压缩工期。确需压缩工期的，发包方应当组织专家进行技术和质量安全论证；因压缩工期增加的技术措施等相关费用，计入工程造价并相应调整合同价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工程完工后，应当按照下列规定进行竣工结算：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（一）承包方应当客观、真实地编制竣工结算文件，并按合同约定的期限提交竣工结算文件；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（二）发包方应当对竣工结算文件进行审核，并在合同约定期限内向承包方提出审核意见，逾期未答复的，按合同约定视为认可竣工结算文件；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（三）承包方对发包方提出的竣工结算审核意见有异议的，可以向工程造价管理机构或者行业协会申请调解，也可以依法申请仲裁或者向人民法院提起诉讼。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发包方、承包方对前款第一项、第二项期限没有约定的，认定为二十八日。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竣工结算文件经发包方与承包方签字确认生效。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发包方应当按照竣工结算文件，及时支付竣工结算款。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工程造价咨询</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建设工程造价咨询的企业和个人应当依法从事建设工程造价咨询活动。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工程造价咨询企业和工程造价专业人员应当按照工程建设标准、规范和造价依据等，出具建设工程造价成果文件，并对文件的真实性、准确性和完整性负责。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工程造价咨询企业不得有下列行为：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（一）同时接受招标人和投标人，或者两个以上投标人对同一工程项目的工程造价咨询业务；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（二）转包承接的工程造价咨询业务；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（三）以给予回扣、低于成本收费等方式承接业务；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（四）出具有虚假记载、误导性陈述的建设工程造价成果文件；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（五）法律、法规禁止的其他行为。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工程造价专业人员不得有下列行为：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（一）出租、出借、转让注册证书；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（二）以个人名义承接工程造价咨询业务；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（三）允许他人以自己名义从事工程造价咨询业务；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（四）同时在两个或者两个以上单位执业；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（五）签署有虚假记载、误导性陈述的建设工程造价成果文件；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（六）法律、法规禁止的其他行为。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监督检查</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建设主管部门应当对本行政区域内从事建设工程造价活动的建设、设计、施工、招标代理、工程监理、工程造价咨询等企业和从业人员进行监督检查，并可以采取下列措施：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（一）要求被检查单位提供有关文件和资料；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（二）就有关问题询问签署文件的人员；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（三）要求改正违反有关法律、法规或者工程建设强制性标准的行为。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使用国有资金的建设工程，应当依法接受审计监督和财政监督。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工程造价管理机构应当对建设工程项目估算、概算、预算、结算等进行监督检查，对发现的问题应当及时纠正处理。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工程造价管理机构应当依法记录工程造价咨询企业、工程造价专业人员的基本情况、违法处理结果等，纳入市场主体信用信息系统，供公众查询使用。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建设工程造价行业协会依照法律、法规和章程实行自律管理，规范管理会员执业行为，调解建设工程造价纠纷。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任何单位和个人对建设、设计、施工、招标代理、工程监理、工程造价咨询等企业和从业人员，违反建设工程造价管理规定的行为，有权向建设主管部门和有关部门投诉、举报；建设主管部门和有关部门应当建立投诉举报平台，依法受理和查处。</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使用国有资金的建设工程的建设、设计单位违反本条例第十四条第一款规定，擅自扩大建设规模、增加建设内容、提高建设标准的，由原审批部门责令改正，对设计单位处以十万元以上二十万元以下的罚款；对建设单位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工程造价咨询企业违反本条例规定，有第二十三条规定行为之一的，由县级以上人民政府建设主管部门责令改正，没收违法所得，并处以违法所得三倍以下且不低于五万元的罚款；没有违法所得的，处以三万元以上五万元以下的罚款；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工程造价专业人员违反本条例规定，有第二十四条规定行为之一的，由县级以上人民政府建设主管部门责令改正，没收违法所得，并处以违法所得三倍以下且不低于一万元的罚款；没有违法所得的，处以五千元以上一万元以下的罚款；情节严重的，报请颁发注册证书的单位注销注册证书；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建设主管部门、工程造价管理机构及其工作人员有下列行为之一的，依法给予处分；构成犯罪的，依法追究刑事责任：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（一）对不符合条件的个人颁发注册证书的；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（二）对投诉、举报不依法受理的；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（三）发现违法行为不依法查处的；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（四）其他玩忽职守、滥用职权、徇私舞弊的行为。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bookmarkStart w:id="0" w:name="_GoBack"/>
      <w:bookmarkEnd w:id="0"/>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交通、水利等专业建设工程造价及其管理监督，国家有规定的依照国家规定；国家没有规定的，参照本条例执行。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本条例中下列用语的含义是：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（一）工程量清单，是指载明建设工程分部分项工程项目、措施项目、其他项目的名称和相应数量，以及规费、税金项目等内容的明细清单。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（二）建设工程定额，是指在社会平均生产条件下，完成单位工程合格产品或者一定工程量，所必须消耗的人工、材料、机械等数量的标准。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（三）不可竞争性费用，是指建设工程的文明施工费、环境保护费、临时设施费、安全施工费、环境保护税和税金等。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Times New Roman" w:hAnsi="Times New Roman" w:eastAsia="仿宋_GB2312"/>
          <w:sz w:val="32"/>
        </w:rPr>
        <w:t>　本条例自2014年11月1日起施行。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TFlMjA4OTJjZjg4ZTRhODE1ZjkyNWYwNzU3YzkwND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CA57245"/>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Administrator</cp:lastModifiedBy>
  <dcterms:modified xsi:type="dcterms:W3CDTF">2024-01-31T08:33:27Z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